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CA32D" w14:textId="77777777" w:rsidR="00C27DA4" w:rsidRDefault="00C27DA4" w:rsidP="0096632A">
      <w:pPr>
        <w:pStyle w:val="Title"/>
        <w:spacing w:line="480" w:lineRule="auto"/>
        <w:jc w:val="center"/>
        <w:rPr>
          <w:rFonts w:ascii="Arial" w:hAnsi="Arial" w:cs="Arial"/>
          <w:sz w:val="24"/>
          <w:szCs w:val="24"/>
        </w:rPr>
      </w:pPr>
    </w:p>
    <w:p w14:paraId="2D877464" w14:textId="7081E20F" w:rsidR="00916370" w:rsidRPr="00A03347" w:rsidRDefault="00916370" w:rsidP="004B0854">
      <w:pPr>
        <w:jc w:val="center"/>
        <w:rPr>
          <w:rFonts w:ascii="Arial" w:hAnsi="Arial" w:cs="Arial"/>
          <w:b/>
          <w:bCs/>
        </w:rPr>
      </w:pPr>
      <w:proofErr w:type="spellStart"/>
      <w:r w:rsidRPr="00A03347">
        <w:rPr>
          <w:rFonts w:ascii="Arial" w:hAnsi="Arial" w:cs="Arial"/>
          <w:b/>
          <w:bCs/>
        </w:rPr>
        <w:t>Ojo</w:t>
      </w:r>
      <w:proofErr w:type="spellEnd"/>
      <w:r w:rsidRPr="00A03347">
        <w:rPr>
          <w:rFonts w:ascii="Arial" w:hAnsi="Arial" w:cs="Arial"/>
          <w:b/>
          <w:bCs/>
        </w:rPr>
        <w:t xml:space="preserve"> Emmanuel </w:t>
      </w:r>
      <w:proofErr w:type="spellStart"/>
      <w:r w:rsidRPr="00A03347">
        <w:rPr>
          <w:rFonts w:ascii="Arial" w:hAnsi="Arial" w:cs="Arial"/>
          <w:b/>
          <w:bCs/>
        </w:rPr>
        <w:t>Ademola</w:t>
      </w:r>
      <w:proofErr w:type="spellEnd"/>
    </w:p>
    <w:p w14:paraId="6D95B94A" w14:textId="610D0F0F" w:rsidR="00C27DA4" w:rsidRPr="00A03347" w:rsidRDefault="00C27DA4" w:rsidP="00610B64">
      <w:pPr>
        <w:rPr>
          <w:rFonts w:ascii="Arial" w:hAnsi="Arial" w:cs="Arial"/>
          <w:b/>
          <w:bCs/>
          <w:szCs w:val="24"/>
        </w:rPr>
      </w:pPr>
    </w:p>
    <w:p w14:paraId="3F203DAF" w14:textId="77777777" w:rsidR="00A54DFF" w:rsidRPr="00A03347" w:rsidRDefault="00A54DFF" w:rsidP="00A54DFF">
      <w:pPr>
        <w:rPr>
          <w:b/>
          <w:bCs/>
        </w:rPr>
      </w:pPr>
    </w:p>
    <w:p w14:paraId="2E3F727C" w14:textId="42C15B82" w:rsidR="002A1955" w:rsidRPr="00A03347" w:rsidRDefault="00F42267" w:rsidP="000234F8">
      <w:pPr>
        <w:pStyle w:val="Title"/>
        <w:spacing w:line="480" w:lineRule="auto"/>
        <w:jc w:val="center"/>
        <w:rPr>
          <w:rFonts w:ascii="Arial" w:hAnsi="Arial" w:cs="Arial"/>
          <w:b/>
          <w:bCs/>
          <w:sz w:val="28"/>
          <w:szCs w:val="28"/>
        </w:rPr>
      </w:pPr>
      <w:r w:rsidRPr="00A03347">
        <w:rPr>
          <w:rFonts w:ascii="Arial" w:hAnsi="Arial" w:cs="Arial"/>
          <w:b/>
          <w:bCs/>
          <w:sz w:val="28"/>
          <w:szCs w:val="28"/>
        </w:rPr>
        <w:t xml:space="preserve">An </w:t>
      </w:r>
      <w:r w:rsidR="00E90B7A" w:rsidRPr="00A03347">
        <w:rPr>
          <w:rFonts w:ascii="Arial" w:hAnsi="Arial" w:cs="Arial"/>
          <w:b/>
          <w:bCs/>
          <w:sz w:val="28"/>
          <w:szCs w:val="28"/>
        </w:rPr>
        <w:t xml:space="preserve">Exploration of Developing Issues and the relationship between </w:t>
      </w:r>
      <w:r w:rsidRPr="00A03347">
        <w:rPr>
          <w:rFonts w:ascii="Arial" w:hAnsi="Arial" w:cs="Arial"/>
          <w:b/>
          <w:bCs/>
          <w:sz w:val="28"/>
          <w:szCs w:val="28"/>
        </w:rPr>
        <w:t>Information Technology Governance</w:t>
      </w:r>
      <w:r w:rsidR="00E90B7A" w:rsidRPr="00A03347">
        <w:rPr>
          <w:rFonts w:ascii="Arial" w:hAnsi="Arial" w:cs="Arial"/>
          <w:b/>
          <w:bCs/>
          <w:sz w:val="28"/>
          <w:szCs w:val="28"/>
        </w:rPr>
        <w:t xml:space="preserve"> </w:t>
      </w:r>
      <w:r w:rsidRPr="00A03347">
        <w:rPr>
          <w:rFonts w:ascii="Arial" w:hAnsi="Arial" w:cs="Arial"/>
          <w:b/>
          <w:bCs/>
          <w:sz w:val="28"/>
          <w:szCs w:val="28"/>
        </w:rPr>
        <w:t>and Multi-stakeholder Security Governance Scaling</w:t>
      </w:r>
      <w:r w:rsidR="00E90B7A" w:rsidRPr="00A03347">
        <w:rPr>
          <w:rFonts w:ascii="Arial" w:hAnsi="Arial" w:cs="Arial"/>
          <w:b/>
          <w:bCs/>
          <w:sz w:val="28"/>
          <w:szCs w:val="28"/>
        </w:rPr>
        <w:t xml:space="preserve"> for Cyber Security Decision-Makers within the </w:t>
      </w:r>
      <w:r w:rsidRPr="00A03347">
        <w:rPr>
          <w:rFonts w:ascii="Arial" w:hAnsi="Arial" w:cs="Arial"/>
          <w:b/>
          <w:bCs/>
          <w:sz w:val="28"/>
          <w:szCs w:val="28"/>
        </w:rPr>
        <w:t>UK S</w:t>
      </w:r>
      <w:r w:rsidR="00605DCE" w:rsidRPr="00A03347">
        <w:rPr>
          <w:rFonts w:ascii="Arial" w:hAnsi="Arial" w:cs="Arial"/>
          <w:b/>
          <w:bCs/>
          <w:sz w:val="28"/>
          <w:szCs w:val="28"/>
        </w:rPr>
        <w:t xml:space="preserve">mall and </w:t>
      </w:r>
      <w:r w:rsidRPr="00A03347">
        <w:rPr>
          <w:rFonts w:ascii="Arial" w:hAnsi="Arial" w:cs="Arial"/>
          <w:b/>
          <w:bCs/>
          <w:sz w:val="28"/>
          <w:szCs w:val="28"/>
        </w:rPr>
        <w:t>M</w:t>
      </w:r>
      <w:r w:rsidR="00605DCE" w:rsidRPr="00A03347">
        <w:rPr>
          <w:rFonts w:ascii="Arial" w:hAnsi="Arial" w:cs="Arial"/>
          <w:b/>
          <w:bCs/>
          <w:sz w:val="28"/>
          <w:szCs w:val="28"/>
        </w:rPr>
        <w:t xml:space="preserve">edium-Sized </w:t>
      </w:r>
      <w:r w:rsidRPr="00A03347">
        <w:rPr>
          <w:rFonts w:ascii="Arial" w:hAnsi="Arial" w:cs="Arial"/>
          <w:b/>
          <w:bCs/>
          <w:sz w:val="28"/>
          <w:szCs w:val="28"/>
        </w:rPr>
        <w:t>E</w:t>
      </w:r>
      <w:r w:rsidR="00605DCE" w:rsidRPr="00A03347">
        <w:rPr>
          <w:rFonts w:ascii="Arial" w:hAnsi="Arial" w:cs="Arial"/>
          <w:b/>
          <w:bCs/>
          <w:sz w:val="28"/>
          <w:szCs w:val="28"/>
        </w:rPr>
        <w:t>nterprises</w:t>
      </w:r>
      <w:r w:rsidRPr="00A03347">
        <w:rPr>
          <w:rFonts w:ascii="Arial" w:hAnsi="Arial" w:cs="Arial"/>
          <w:b/>
          <w:bCs/>
          <w:sz w:val="28"/>
          <w:szCs w:val="28"/>
        </w:rPr>
        <w:t xml:space="preserve"> Aviation</w:t>
      </w:r>
    </w:p>
    <w:p w14:paraId="06CE74E4" w14:textId="77777777" w:rsidR="002757EC" w:rsidRDefault="002757EC" w:rsidP="002757EC">
      <w:pPr>
        <w:spacing w:line="240" w:lineRule="auto"/>
        <w:jc w:val="center"/>
        <w:rPr>
          <w:rFonts w:ascii="Arial" w:hAnsi="Arial" w:cs="Arial"/>
        </w:rPr>
      </w:pPr>
    </w:p>
    <w:p w14:paraId="31759CF6" w14:textId="77777777" w:rsidR="000234F8" w:rsidRDefault="000234F8" w:rsidP="002757EC">
      <w:pPr>
        <w:spacing w:line="240" w:lineRule="auto"/>
        <w:jc w:val="center"/>
        <w:rPr>
          <w:rFonts w:ascii="Arial" w:hAnsi="Arial" w:cs="Arial"/>
        </w:rPr>
      </w:pPr>
    </w:p>
    <w:p w14:paraId="66458E4D" w14:textId="15710CC5" w:rsidR="000234F8" w:rsidRDefault="000234F8" w:rsidP="002757EC">
      <w:pPr>
        <w:spacing w:line="240" w:lineRule="auto"/>
        <w:jc w:val="center"/>
        <w:rPr>
          <w:rFonts w:ascii="Arial" w:hAnsi="Arial" w:cs="Arial"/>
        </w:rPr>
      </w:pPr>
    </w:p>
    <w:p w14:paraId="2D03B184" w14:textId="015DE050" w:rsidR="000234F8" w:rsidRDefault="000234F8" w:rsidP="002757EC">
      <w:pPr>
        <w:spacing w:line="240" w:lineRule="auto"/>
        <w:jc w:val="center"/>
        <w:rPr>
          <w:rFonts w:ascii="Arial" w:hAnsi="Arial" w:cs="Arial"/>
        </w:rPr>
      </w:pPr>
    </w:p>
    <w:p w14:paraId="0973181C" w14:textId="77777777" w:rsidR="00A54DFF" w:rsidRDefault="00A54DFF" w:rsidP="002757EC">
      <w:pPr>
        <w:spacing w:line="240" w:lineRule="auto"/>
        <w:jc w:val="center"/>
        <w:rPr>
          <w:rFonts w:ascii="Arial" w:hAnsi="Arial" w:cs="Arial"/>
        </w:rPr>
      </w:pPr>
    </w:p>
    <w:p w14:paraId="2B071146" w14:textId="081344DD" w:rsidR="00781B1A" w:rsidRPr="00A03347" w:rsidRDefault="00781B1A" w:rsidP="002757EC">
      <w:pPr>
        <w:spacing w:line="240" w:lineRule="auto"/>
        <w:jc w:val="center"/>
        <w:rPr>
          <w:rFonts w:ascii="Arial" w:hAnsi="Arial" w:cs="Arial"/>
          <w:b/>
          <w:bCs/>
        </w:rPr>
      </w:pPr>
      <w:r w:rsidRPr="00A03347">
        <w:rPr>
          <w:rFonts w:ascii="Arial" w:hAnsi="Arial" w:cs="Arial"/>
          <w:b/>
          <w:bCs/>
        </w:rPr>
        <w:t xml:space="preserve">A Final Thesis Presented to </w:t>
      </w:r>
    </w:p>
    <w:p w14:paraId="03EC6346" w14:textId="77777777" w:rsidR="00433683" w:rsidRPr="00A03347" w:rsidRDefault="00433683" w:rsidP="002757EC">
      <w:pPr>
        <w:spacing w:line="240" w:lineRule="auto"/>
        <w:jc w:val="center"/>
        <w:rPr>
          <w:rFonts w:ascii="Arial" w:hAnsi="Arial" w:cs="Arial"/>
          <w:b/>
          <w:bCs/>
        </w:rPr>
      </w:pPr>
      <w:r w:rsidRPr="00A03347">
        <w:rPr>
          <w:rFonts w:ascii="Arial" w:hAnsi="Arial" w:cs="Arial"/>
          <w:b/>
          <w:bCs/>
        </w:rPr>
        <w:t xml:space="preserve">The Academic Department </w:t>
      </w:r>
    </w:p>
    <w:p w14:paraId="5B68252E" w14:textId="77777777" w:rsidR="00671387" w:rsidRPr="00A03347" w:rsidRDefault="00433683" w:rsidP="002757EC">
      <w:pPr>
        <w:spacing w:line="240" w:lineRule="auto"/>
        <w:jc w:val="center"/>
        <w:rPr>
          <w:rFonts w:ascii="Arial" w:hAnsi="Arial" w:cs="Arial"/>
          <w:b/>
          <w:bCs/>
        </w:rPr>
      </w:pPr>
      <w:r w:rsidRPr="00A03347">
        <w:rPr>
          <w:rFonts w:ascii="Arial" w:hAnsi="Arial" w:cs="Arial"/>
          <w:b/>
          <w:bCs/>
        </w:rPr>
        <w:t xml:space="preserve">Of the School of Science and Engineering </w:t>
      </w:r>
    </w:p>
    <w:p w14:paraId="63A38C83" w14:textId="77777777" w:rsidR="00B304F1" w:rsidRPr="00A03347" w:rsidRDefault="00671387" w:rsidP="002757EC">
      <w:pPr>
        <w:spacing w:line="240" w:lineRule="auto"/>
        <w:jc w:val="center"/>
        <w:rPr>
          <w:rFonts w:ascii="Arial" w:hAnsi="Arial" w:cs="Arial"/>
          <w:b/>
          <w:bCs/>
        </w:rPr>
      </w:pPr>
      <w:r w:rsidRPr="00A03347">
        <w:rPr>
          <w:rFonts w:ascii="Arial" w:hAnsi="Arial" w:cs="Arial"/>
          <w:b/>
          <w:bCs/>
        </w:rPr>
        <w:t xml:space="preserve">In Partial </w:t>
      </w:r>
      <w:proofErr w:type="spellStart"/>
      <w:r w:rsidRPr="00A03347">
        <w:rPr>
          <w:rFonts w:ascii="Arial" w:hAnsi="Arial" w:cs="Arial"/>
          <w:b/>
          <w:bCs/>
        </w:rPr>
        <w:t>Fulfillment</w:t>
      </w:r>
      <w:proofErr w:type="spellEnd"/>
      <w:r w:rsidRPr="00A03347">
        <w:rPr>
          <w:rFonts w:ascii="Arial" w:hAnsi="Arial" w:cs="Arial"/>
          <w:b/>
          <w:bCs/>
        </w:rPr>
        <w:t xml:space="preserve"> </w:t>
      </w:r>
      <w:r w:rsidR="00B304F1" w:rsidRPr="00A03347">
        <w:rPr>
          <w:rFonts w:ascii="Arial" w:hAnsi="Arial" w:cs="Arial"/>
          <w:b/>
          <w:bCs/>
        </w:rPr>
        <w:t>of the Requirements</w:t>
      </w:r>
    </w:p>
    <w:p w14:paraId="05BE19AD" w14:textId="1927A9F1" w:rsidR="002A1955" w:rsidRPr="00A03347" w:rsidRDefault="00B304F1" w:rsidP="00B36FA3">
      <w:pPr>
        <w:spacing w:line="240" w:lineRule="auto"/>
        <w:jc w:val="center"/>
        <w:rPr>
          <w:rFonts w:ascii="Arial" w:hAnsi="Arial" w:cs="Arial"/>
          <w:b/>
          <w:bCs/>
          <w:u w:val="single"/>
        </w:rPr>
      </w:pPr>
      <w:r w:rsidRPr="00A03347">
        <w:rPr>
          <w:rFonts w:ascii="Arial" w:hAnsi="Arial" w:cs="Arial"/>
          <w:b/>
          <w:bCs/>
        </w:rPr>
        <w:t xml:space="preserve">For the </w:t>
      </w:r>
      <w:r w:rsidR="002757EC" w:rsidRPr="00A03347">
        <w:rPr>
          <w:rFonts w:ascii="Arial" w:hAnsi="Arial" w:cs="Arial"/>
          <w:b/>
          <w:bCs/>
        </w:rPr>
        <w:t xml:space="preserve">Degree of </w:t>
      </w:r>
      <w:r w:rsidR="00377099" w:rsidRPr="00A03347">
        <w:rPr>
          <w:rFonts w:ascii="Arial" w:hAnsi="Arial" w:cs="Arial"/>
          <w:b/>
          <w:bCs/>
          <w:u w:val="single"/>
        </w:rPr>
        <w:t xml:space="preserve">Doctor of Philosophy </w:t>
      </w:r>
      <w:r w:rsidR="002757EC" w:rsidRPr="00A03347">
        <w:rPr>
          <w:rFonts w:ascii="Arial" w:hAnsi="Arial" w:cs="Arial"/>
          <w:b/>
          <w:bCs/>
          <w:u w:val="single"/>
        </w:rPr>
        <w:t>in Cyber Security</w:t>
      </w:r>
    </w:p>
    <w:p w14:paraId="16E3D435" w14:textId="181FC644" w:rsidR="00E91CCF" w:rsidRPr="00A03347" w:rsidRDefault="00E91CCF" w:rsidP="00B36FA3">
      <w:pPr>
        <w:spacing w:line="240" w:lineRule="auto"/>
        <w:jc w:val="center"/>
        <w:rPr>
          <w:rFonts w:ascii="Arial" w:hAnsi="Arial" w:cs="Arial"/>
          <w:b/>
          <w:bCs/>
          <w:u w:val="single"/>
        </w:rPr>
      </w:pPr>
    </w:p>
    <w:p w14:paraId="1605D4F4" w14:textId="2E6FDE27" w:rsidR="00E91CCF" w:rsidRPr="00A03347" w:rsidRDefault="00E91CCF" w:rsidP="00B36FA3">
      <w:pPr>
        <w:spacing w:line="240" w:lineRule="auto"/>
        <w:jc w:val="center"/>
        <w:rPr>
          <w:rFonts w:ascii="Arial" w:hAnsi="Arial" w:cs="Arial"/>
          <w:b/>
          <w:bCs/>
          <w:u w:val="single"/>
        </w:rPr>
      </w:pPr>
    </w:p>
    <w:p w14:paraId="14AA48A6" w14:textId="2F6F8960" w:rsidR="00E91CCF" w:rsidRPr="00A03347" w:rsidRDefault="00E91CCF" w:rsidP="00B36FA3">
      <w:pPr>
        <w:spacing w:line="240" w:lineRule="auto"/>
        <w:jc w:val="center"/>
        <w:rPr>
          <w:rFonts w:ascii="Arial" w:hAnsi="Arial" w:cs="Arial"/>
          <w:b/>
          <w:bCs/>
          <w:u w:val="single"/>
        </w:rPr>
      </w:pPr>
    </w:p>
    <w:p w14:paraId="4B8F5C40" w14:textId="1507899E" w:rsidR="00B36FA3" w:rsidRPr="00A03347" w:rsidRDefault="00D55244" w:rsidP="00E91CCF">
      <w:pPr>
        <w:spacing w:line="240" w:lineRule="auto"/>
        <w:jc w:val="center"/>
        <w:rPr>
          <w:rFonts w:ascii="Arial" w:hAnsi="Arial" w:cs="Arial"/>
          <w:b/>
          <w:bCs/>
          <w:i/>
          <w:sz w:val="32"/>
        </w:rPr>
      </w:pPr>
      <w:r w:rsidRPr="00A03347">
        <w:rPr>
          <w:rFonts w:ascii="Arial" w:hAnsi="Arial" w:cs="Arial"/>
          <w:b/>
          <w:bCs/>
        </w:rPr>
        <w:t>ATLANTIC INTERNATIONAL UNIVERSITY</w:t>
      </w:r>
    </w:p>
    <w:p w14:paraId="6E8CF699" w14:textId="77777777" w:rsidR="00E91CCF" w:rsidRPr="00A03347" w:rsidRDefault="00E91CCF" w:rsidP="00E91CCF">
      <w:pPr>
        <w:spacing w:line="240" w:lineRule="auto"/>
        <w:jc w:val="center"/>
        <w:rPr>
          <w:rFonts w:ascii="Arial" w:hAnsi="Arial" w:cs="Arial"/>
          <w:b/>
          <w:bCs/>
        </w:rPr>
      </w:pPr>
      <w:r w:rsidRPr="00A03347">
        <w:rPr>
          <w:rFonts w:ascii="Arial" w:hAnsi="Arial" w:cs="Arial"/>
          <w:b/>
          <w:bCs/>
        </w:rPr>
        <w:t>HONOLULU, HAWAII</w:t>
      </w:r>
    </w:p>
    <w:p w14:paraId="34E25297" w14:textId="769E4A94" w:rsidR="002E234C" w:rsidRPr="00A03347" w:rsidRDefault="00E91CCF" w:rsidP="00E91CCF">
      <w:pPr>
        <w:spacing w:line="240" w:lineRule="auto"/>
        <w:jc w:val="center"/>
        <w:rPr>
          <w:rFonts w:ascii="Arial" w:hAnsi="Arial" w:cs="Arial"/>
          <w:b/>
          <w:bCs/>
        </w:rPr>
      </w:pPr>
      <w:r w:rsidRPr="00A03347">
        <w:rPr>
          <w:rFonts w:ascii="Arial" w:hAnsi="Arial" w:cs="Arial"/>
          <w:b/>
          <w:bCs/>
        </w:rPr>
        <w:t>S</w:t>
      </w:r>
      <w:r w:rsidR="003E1E78">
        <w:rPr>
          <w:rFonts w:ascii="Arial" w:hAnsi="Arial" w:cs="Arial"/>
          <w:b/>
          <w:bCs/>
        </w:rPr>
        <w:t>PRING</w:t>
      </w:r>
      <w:r w:rsidRPr="00A03347">
        <w:rPr>
          <w:rFonts w:ascii="Arial" w:hAnsi="Arial" w:cs="Arial"/>
          <w:b/>
          <w:bCs/>
        </w:rPr>
        <w:t xml:space="preserve"> 2021</w:t>
      </w:r>
    </w:p>
    <w:p w14:paraId="698740CC" w14:textId="77777777" w:rsidR="002E234C" w:rsidRPr="00312389" w:rsidRDefault="002E234C" w:rsidP="00D40EBB">
      <w:pPr>
        <w:pStyle w:val="UnnumberedHeading"/>
        <w:spacing w:line="480" w:lineRule="auto"/>
        <w:rPr>
          <w:rFonts w:ascii="Arial" w:hAnsi="Arial" w:cs="Arial"/>
        </w:rPr>
      </w:pPr>
      <w:bookmarkStart w:id="0" w:name="_Toc72189366"/>
      <w:r w:rsidRPr="00312389">
        <w:rPr>
          <w:rFonts w:ascii="Arial" w:hAnsi="Arial" w:cs="Arial"/>
        </w:rPr>
        <w:lastRenderedPageBreak/>
        <w:t>Abstract</w:t>
      </w:r>
      <w:bookmarkEnd w:id="0"/>
    </w:p>
    <w:p w14:paraId="3A07A623" w14:textId="2C860BA5" w:rsidR="009C648E" w:rsidRPr="00312389" w:rsidRDefault="009C648E" w:rsidP="00F31D3F">
      <w:pPr>
        <w:spacing w:line="480" w:lineRule="auto"/>
        <w:ind w:firstLine="720"/>
        <w:jc w:val="both"/>
        <w:rPr>
          <w:rFonts w:ascii="Arial" w:hAnsi="Arial" w:cs="Arial"/>
          <w:bCs/>
        </w:rPr>
      </w:pPr>
      <w:r w:rsidRPr="00312389">
        <w:rPr>
          <w:rFonts w:ascii="Arial" w:hAnsi="Arial" w:cs="Arial"/>
          <w:bCs/>
        </w:rPr>
        <w:t xml:space="preserve">The objective of this study is to feature the developing issues and explore the relationship between Information Technology Governance (ITG) and Multi-stakeholder Security Governance Scaling (MSGS) for decision-makers within the UK’s SME Aviation, which should benefit academia and practitioners. By conducting an extensive literature review, covering expert and scholarly writing, lean implementation thinking, SMEs cyber policymaking industrial and grand synergy, a profound knowledge level and concise synthesis can be presented, which informs the exploratory secondary qualitative research. In creating the framework, a process theory approach is pursued by transcribing primary data into secondary data to develop models and identify themes with a purposive survey sample from SMEs decision-makers. The sample consists of 2008 respondents of the SMEs from six industrial sectors with mainly UK’s SME Aviation. </w:t>
      </w:r>
    </w:p>
    <w:p w14:paraId="527D6BDF" w14:textId="127DFD85" w:rsidR="009C648E" w:rsidRPr="00312389" w:rsidRDefault="009C648E" w:rsidP="00F31D3F">
      <w:pPr>
        <w:spacing w:line="480" w:lineRule="auto"/>
        <w:ind w:firstLine="720"/>
        <w:jc w:val="both"/>
        <w:rPr>
          <w:rFonts w:ascii="Arial" w:hAnsi="Arial" w:cs="Arial"/>
          <w:bCs/>
        </w:rPr>
      </w:pPr>
      <w:r w:rsidRPr="00312389">
        <w:rPr>
          <w:rFonts w:ascii="Arial" w:hAnsi="Arial" w:cs="Arial"/>
          <w:bCs/>
        </w:rPr>
        <w:t>After the transcription of data, the output then reanalysed with principal component and link analysis tools. The outcome led to the lean adoption to cyber policymaking in SMEs. Core findings are that implementable cyber policy is at the heart of integration between ITG and MSGS. Decision-makers should consider the security culture of the SMEs Aviation and put in place an efficient information assurance and risk management guide. It becomes evident that the identifiable relationships between ITG and MSGS are due to scaling approach to implementable cyber policy. Suitable key performance indicators, metrics, dynamic approach to scaling are essential to implementable cyber policymaking.</w:t>
      </w:r>
    </w:p>
    <w:p w14:paraId="0E7A469B" w14:textId="77777777" w:rsidR="009C648E" w:rsidRPr="00312389" w:rsidRDefault="009C648E" w:rsidP="00F31D3F">
      <w:pPr>
        <w:spacing w:line="480" w:lineRule="auto"/>
        <w:ind w:firstLine="720"/>
        <w:jc w:val="both"/>
        <w:rPr>
          <w:rFonts w:ascii="Arial" w:hAnsi="Arial" w:cs="Arial"/>
          <w:bCs/>
        </w:rPr>
      </w:pPr>
      <w:r w:rsidRPr="00312389">
        <w:rPr>
          <w:rFonts w:ascii="Arial" w:hAnsi="Arial" w:cs="Arial"/>
          <w:bCs/>
        </w:rPr>
        <w:t xml:space="preserve">Interestingly, adoption of inappropriate scaling technique to security policies guidelines could affect the right balance of profiling negatively, assuring and </w:t>
      </w:r>
      <w:r w:rsidRPr="00312389">
        <w:rPr>
          <w:rFonts w:ascii="Arial" w:hAnsi="Arial" w:cs="Arial"/>
          <w:bCs/>
        </w:rPr>
        <w:lastRenderedPageBreak/>
        <w:t xml:space="preserve">delivering cybersecurity. Overall, decision-makers must produce a strategy of inclusion, training, communication for the integration of frameworks. Such a scaling approach provides a template for agile adoption to implementable cyber policymaking. </w:t>
      </w:r>
    </w:p>
    <w:p w14:paraId="03F36AC6" w14:textId="08EDA6BC" w:rsidR="009C648E" w:rsidRPr="00312389" w:rsidRDefault="009C648E" w:rsidP="00F31D3F">
      <w:pPr>
        <w:spacing w:line="480" w:lineRule="auto"/>
        <w:ind w:firstLine="720"/>
        <w:jc w:val="both"/>
        <w:rPr>
          <w:rFonts w:ascii="Arial" w:hAnsi="Arial" w:cs="Arial"/>
          <w:bCs/>
        </w:rPr>
      </w:pPr>
      <w:r w:rsidRPr="00312389">
        <w:rPr>
          <w:rFonts w:ascii="Arial" w:hAnsi="Arial" w:cs="Arial"/>
          <w:bCs/>
        </w:rPr>
        <w:t>Even though this study could build an academic bridge between academia and practice, there could be possible improvement using primary data via interviewing across numbers of SMEs Aviation from various countries, which could be a limitation as well as an opportunity for future research. Conclu</w:t>
      </w:r>
      <w:r w:rsidR="00292D26">
        <w:rPr>
          <w:rFonts w:ascii="Arial" w:hAnsi="Arial" w:cs="Arial"/>
          <w:bCs/>
        </w:rPr>
        <w:t>sively</w:t>
      </w:r>
      <w:r w:rsidRPr="00312389">
        <w:rPr>
          <w:rFonts w:ascii="Arial" w:hAnsi="Arial" w:cs="Arial"/>
          <w:bCs/>
        </w:rPr>
        <w:t>, it can be stated that implementable cyber policy must be adequately adapted to SMEs business environment of an industrial sector as industrial and grand cybersecurity strategy.</w:t>
      </w:r>
    </w:p>
    <w:p w14:paraId="63416451" w14:textId="16530751" w:rsidR="00012844" w:rsidRPr="00312389" w:rsidRDefault="009C648E" w:rsidP="00D40EBB">
      <w:pPr>
        <w:spacing w:line="480" w:lineRule="auto"/>
        <w:jc w:val="both"/>
        <w:rPr>
          <w:rFonts w:ascii="Arial" w:hAnsi="Arial" w:cs="Arial"/>
        </w:rPr>
      </w:pPr>
      <w:r w:rsidRPr="00312389">
        <w:rPr>
          <w:rFonts w:ascii="Arial" w:hAnsi="Arial" w:cs="Arial"/>
          <w:b/>
        </w:rPr>
        <w:t xml:space="preserve">Keywords: </w:t>
      </w:r>
      <w:r w:rsidR="004E1621">
        <w:rPr>
          <w:rFonts w:ascii="Arial" w:hAnsi="Arial" w:cs="Arial"/>
          <w:bCs/>
        </w:rPr>
        <w:t xml:space="preserve">Cyber Security, </w:t>
      </w:r>
      <w:r w:rsidRPr="00312389">
        <w:rPr>
          <w:rFonts w:ascii="Arial" w:hAnsi="Arial" w:cs="Arial"/>
          <w:bCs/>
        </w:rPr>
        <w:t>Cyber Policy, Information Technology Governance, Multi-stakeholder Security Governance Scaling</w:t>
      </w:r>
      <w:r w:rsidRPr="00312389">
        <w:rPr>
          <w:rFonts w:ascii="Arial" w:hAnsi="Arial" w:cs="Arial"/>
        </w:rPr>
        <w:t xml:space="preserve">, </w:t>
      </w:r>
      <w:r w:rsidR="001D011B" w:rsidRPr="00312389">
        <w:rPr>
          <w:rFonts w:ascii="Arial" w:hAnsi="Arial" w:cs="Arial"/>
        </w:rPr>
        <w:t xml:space="preserve">Information Technology, </w:t>
      </w:r>
      <w:r w:rsidRPr="00312389">
        <w:rPr>
          <w:rFonts w:ascii="Arial" w:hAnsi="Arial" w:cs="Arial"/>
        </w:rPr>
        <w:t xml:space="preserve">Scaling Techniques, SME Aviation, Security Culture, Agile. </w:t>
      </w:r>
      <w:r w:rsidR="00012844" w:rsidRPr="00312389">
        <w:rPr>
          <w:rFonts w:ascii="Arial" w:hAnsi="Arial" w:cs="Arial"/>
        </w:rPr>
        <w:br w:type="page"/>
      </w:r>
    </w:p>
    <w:sdt>
      <w:sdtPr>
        <w:rPr>
          <w:rFonts w:ascii="Arial" w:eastAsiaTheme="minorHAnsi" w:hAnsi="Arial" w:cs="Arial"/>
          <w:b w:val="0"/>
          <w:bCs w:val="0"/>
          <w:color w:val="auto"/>
          <w:sz w:val="24"/>
          <w:szCs w:val="22"/>
          <w:lang w:val="en-GB"/>
        </w:rPr>
        <w:id w:val="5961016"/>
        <w:docPartObj>
          <w:docPartGallery w:val="Table of Contents"/>
          <w:docPartUnique/>
        </w:docPartObj>
      </w:sdtPr>
      <w:sdtEndPr/>
      <w:sdtContent>
        <w:p w14:paraId="5EB25888" w14:textId="77777777" w:rsidR="00012844" w:rsidRPr="00312389" w:rsidRDefault="00012844" w:rsidP="00D40EBB">
          <w:pPr>
            <w:pStyle w:val="TOCHeading"/>
            <w:spacing w:line="480" w:lineRule="auto"/>
            <w:rPr>
              <w:rFonts w:ascii="Arial" w:hAnsi="Arial" w:cs="Arial"/>
            </w:rPr>
          </w:pPr>
          <w:r w:rsidRPr="00312389">
            <w:rPr>
              <w:rStyle w:val="UnnumberedHeadingChar"/>
              <w:rFonts w:ascii="Arial" w:hAnsi="Arial" w:cs="Arial"/>
            </w:rPr>
            <w:t>Contents</w:t>
          </w:r>
        </w:p>
        <w:p w14:paraId="5678B8CD" w14:textId="0A436830" w:rsidR="00285F52" w:rsidRDefault="00571D0C">
          <w:pPr>
            <w:pStyle w:val="TOC1"/>
            <w:rPr>
              <w:rFonts w:asciiTheme="minorHAnsi" w:eastAsiaTheme="minorEastAsia" w:hAnsiTheme="minorHAnsi"/>
              <w:b w:val="0"/>
              <w:noProof/>
              <w:sz w:val="22"/>
              <w:lang w:eastAsia="en-GB"/>
            </w:rPr>
          </w:pPr>
          <w:r w:rsidRPr="00312389">
            <w:rPr>
              <w:rFonts w:ascii="Arial" w:hAnsi="Arial" w:cs="Arial"/>
            </w:rPr>
            <w:fldChar w:fldCharType="begin"/>
          </w:r>
          <w:r w:rsidR="00F16561" w:rsidRPr="00312389">
            <w:rPr>
              <w:rFonts w:ascii="Arial" w:hAnsi="Arial" w:cs="Arial"/>
            </w:rPr>
            <w:instrText xml:space="preserve"> TOC \o "1-2" \h \z \u </w:instrText>
          </w:r>
          <w:r w:rsidRPr="00312389">
            <w:rPr>
              <w:rFonts w:ascii="Arial" w:hAnsi="Arial" w:cs="Arial"/>
            </w:rPr>
            <w:fldChar w:fldCharType="separate"/>
          </w:r>
          <w:hyperlink w:anchor="_Toc72189366" w:history="1">
            <w:r w:rsidR="00285F52" w:rsidRPr="00FB3622">
              <w:rPr>
                <w:rStyle w:val="Hyperlink"/>
                <w:rFonts w:ascii="Arial" w:hAnsi="Arial" w:cs="Arial"/>
                <w:noProof/>
              </w:rPr>
              <w:t>Abstract</w:t>
            </w:r>
            <w:r w:rsidR="00285F52">
              <w:rPr>
                <w:noProof/>
                <w:webHidden/>
              </w:rPr>
              <w:tab/>
            </w:r>
            <w:r w:rsidR="00285F52">
              <w:rPr>
                <w:noProof/>
                <w:webHidden/>
              </w:rPr>
              <w:fldChar w:fldCharType="begin"/>
            </w:r>
            <w:r w:rsidR="00285F52">
              <w:rPr>
                <w:noProof/>
                <w:webHidden/>
              </w:rPr>
              <w:instrText xml:space="preserve"> PAGEREF _Toc72189366 \h </w:instrText>
            </w:r>
            <w:r w:rsidR="00285F52">
              <w:rPr>
                <w:noProof/>
                <w:webHidden/>
              </w:rPr>
            </w:r>
            <w:r w:rsidR="00285F52">
              <w:rPr>
                <w:noProof/>
                <w:webHidden/>
              </w:rPr>
              <w:fldChar w:fldCharType="separate"/>
            </w:r>
            <w:r w:rsidR="00285F52">
              <w:rPr>
                <w:noProof/>
                <w:webHidden/>
              </w:rPr>
              <w:t>1</w:t>
            </w:r>
            <w:r w:rsidR="00285F52">
              <w:rPr>
                <w:noProof/>
                <w:webHidden/>
              </w:rPr>
              <w:fldChar w:fldCharType="end"/>
            </w:r>
          </w:hyperlink>
        </w:p>
        <w:p w14:paraId="70566165" w14:textId="66212D93" w:rsidR="00285F52" w:rsidRDefault="00610B64">
          <w:pPr>
            <w:pStyle w:val="TOC1"/>
            <w:rPr>
              <w:rFonts w:asciiTheme="minorHAnsi" w:eastAsiaTheme="minorEastAsia" w:hAnsiTheme="minorHAnsi"/>
              <w:b w:val="0"/>
              <w:noProof/>
              <w:sz w:val="22"/>
              <w:lang w:eastAsia="en-GB"/>
            </w:rPr>
          </w:pPr>
          <w:hyperlink w:anchor="_Toc72189367" w:history="1">
            <w:r w:rsidR="00285F52" w:rsidRPr="00FB3622">
              <w:rPr>
                <w:rStyle w:val="Hyperlink"/>
                <w:rFonts w:ascii="Arial" w:hAnsi="Arial" w:cs="Arial"/>
                <w:noProof/>
              </w:rPr>
              <w:t>1</w:t>
            </w:r>
            <w:r w:rsidR="00285F52">
              <w:rPr>
                <w:rFonts w:asciiTheme="minorHAnsi" w:eastAsiaTheme="minorEastAsia" w:hAnsiTheme="minorHAnsi"/>
                <w:b w:val="0"/>
                <w:noProof/>
                <w:sz w:val="22"/>
                <w:lang w:eastAsia="en-GB"/>
              </w:rPr>
              <w:tab/>
            </w:r>
            <w:r w:rsidR="00285F52" w:rsidRPr="00FB3622">
              <w:rPr>
                <w:rStyle w:val="Hyperlink"/>
                <w:rFonts w:ascii="Arial" w:hAnsi="Arial" w:cs="Arial"/>
                <w:noProof/>
              </w:rPr>
              <w:t>Introduction</w:t>
            </w:r>
            <w:r w:rsidR="00285F52">
              <w:rPr>
                <w:noProof/>
                <w:webHidden/>
              </w:rPr>
              <w:tab/>
            </w:r>
            <w:r w:rsidR="00285F52">
              <w:rPr>
                <w:noProof/>
                <w:webHidden/>
              </w:rPr>
              <w:fldChar w:fldCharType="begin"/>
            </w:r>
            <w:r w:rsidR="00285F52">
              <w:rPr>
                <w:noProof/>
                <w:webHidden/>
              </w:rPr>
              <w:instrText xml:space="preserve"> PAGEREF _Toc72189367 \h </w:instrText>
            </w:r>
            <w:r w:rsidR="00285F52">
              <w:rPr>
                <w:noProof/>
                <w:webHidden/>
              </w:rPr>
            </w:r>
            <w:r w:rsidR="00285F52">
              <w:rPr>
                <w:noProof/>
                <w:webHidden/>
              </w:rPr>
              <w:fldChar w:fldCharType="separate"/>
            </w:r>
            <w:r w:rsidR="00285F52">
              <w:rPr>
                <w:noProof/>
                <w:webHidden/>
              </w:rPr>
              <w:t>5</w:t>
            </w:r>
            <w:r w:rsidR="00285F52">
              <w:rPr>
                <w:noProof/>
                <w:webHidden/>
              </w:rPr>
              <w:fldChar w:fldCharType="end"/>
            </w:r>
          </w:hyperlink>
        </w:p>
        <w:p w14:paraId="3CE34020" w14:textId="0069B2A1"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68" w:history="1">
            <w:r w:rsidR="00285F52" w:rsidRPr="00FB3622">
              <w:rPr>
                <w:rStyle w:val="Hyperlink"/>
                <w:rFonts w:ascii="Arial" w:hAnsi="Arial" w:cs="Arial"/>
                <w:noProof/>
              </w:rPr>
              <w:t>1.1</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Aims</w:t>
            </w:r>
            <w:r w:rsidR="00285F52">
              <w:rPr>
                <w:noProof/>
                <w:webHidden/>
              </w:rPr>
              <w:tab/>
            </w:r>
            <w:r w:rsidR="00285F52">
              <w:rPr>
                <w:noProof/>
                <w:webHidden/>
              </w:rPr>
              <w:fldChar w:fldCharType="begin"/>
            </w:r>
            <w:r w:rsidR="00285F52">
              <w:rPr>
                <w:noProof/>
                <w:webHidden/>
              </w:rPr>
              <w:instrText xml:space="preserve"> PAGEREF _Toc72189368 \h </w:instrText>
            </w:r>
            <w:r w:rsidR="00285F52">
              <w:rPr>
                <w:noProof/>
                <w:webHidden/>
              </w:rPr>
            </w:r>
            <w:r w:rsidR="00285F52">
              <w:rPr>
                <w:noProof/>
                <w:webHidden/>
              </w:rPr>
              <w:fldChar w:fldCharType="separate"/>
            </w:r>
            <w:r w:rsidR="00285F52">
              <w:rPr>
                <w:noProof/>
                <w:webHidden/>
              </w:rPr>
              <w:t>5</w:t>
            </w:r>
            <w:r w:rsidR="00285F52">
              <w:rPr>
                <w:noProof/>
                <w:webHidden/>
              </w:rPr>
              <w:fldChar w:fldCharType="end"/>
            </w:r>
          </w:hyperlink>
        </w:p>
        <w:p w14:paraId="751FDCC5" w14:textId="0B1B3ED6"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69" w:history="1">
            <w:r w:rsidR="00285F52" w:rsidRPr="00FB3622">
              <w:rPr>
                <w:rStyle w:val="Hyperlink"/>
                <w:rFonts w:ascii="Arial" w:hAnsi="Arial" w:cs="Arial"/>
                <w:noProof/>
              </w:rPr>
              <w:t>1.2</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Background</w:t>
            </w:r>
            <w:r w:rsidR="00285F52">
              <w:rPr>
                <w:noProof/>
                <w:webHidden/>
              </w:rPr>
              <w:tab/>
            </w:r>
            <w:r w:rsidR="00285F52">
              <w:rPr>
                <w:noProof/>
                <w:webHidden/>
              </w:rPr>
              <w:fldChar w:fldCharType="begin"/>
            </w:r>
            <w:r w:rsidR="00285F52">
              <w:rPr>
                <w:noProof/>
                <w:webHidden/>
              </w:rPr>
              <w:instrText xml:space="preserve"> PAGEREF _Toc72189369 \h </w:instrText>
            </w:r>
            <w:r w:rsidR="00285F52">
              <w:rPr>
                <w:noProof/>
                <w:webHidden/>
              </w:rPr>
            </w:r>
            <w:r w:rsidR="00285F52">
              <w:rPr>
                <w:noProof/>
                <w:webHidden/>
              </w:rPr>
              <w:fldChar w:fldCharType="separate"/>
            </w:r>
            <w:r w:rsidR="00285F52">
              <w:rPr>
                <w:noProof/>
                <w:webHidden/>
              </w:rPr>
              <w:t>5</w:t>
            </w:r>
            <w:r w:rsidR="00285F52">
              <w:rPr>
                <w:noProof/>
                <w:webHidden/>
              </w:rPr>
              <w:fldChar w:fldCharType="end"/>
            </w:r>
          </w:hyperlink>
        </w:p>
        <w:p w14:paraId="626566E7" w14:textId="21F573D8"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70" w:history="1">
            <w:r w:rsidR="00285F52" w:rsidRPr="00FB3622">
              <w:rPr>
                <w:rStyle w:val="Hyperlink"/>
                <w:rFonts w:ascii="Arial" w:hAnsi="Arial" w:cs="Arial"/>
                <w:noProof/>
              </w:rPr>
              <w:t>1.3</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Research Focus</w:t>
            </w:r>
            <w:r w:rsidR="00285F52">
              <w:rPr>
                <w:noProof/>
                <w:webHidden/>
              </w:rPr>
              <w:tab/>
            </w:r>
            <w:r w:rsidR="00285F52">
              <w:rPr>
                <w:noProof/>
                <w:webHidden/>
              </w:rPr>
              <w:fldChar w:fldCharType="begin"/>
            </w:r>
            <w:r w:rsidR="00285F52">
              <w:rPr>
                <w:noProof/>
                <w:webHidden/>
              </w:rPr>
              <w:instrText xml:space="preserve"> PAGEREF _Toc72189370 \h </w:instrText>
            </w:r>
            <w:r w:rsidR="00285F52">
              <w:rPr>
                <w:noProof/>
                <w:webHidden/>
              </w:rPr>
            </w:r>
            <w:r w:rsidR="00285F52">
              <w:rPr>
                <w:noProof/>
                <w:webHidden/>
              </w:rPr>
              <w:fldChar w:fldCharType="separate"/>
            </w:r>
            <w:r w:rsidR="00285F52">
              <w:rPr>
                <w:noProof/>
                <w:webHidden/>
              </w:rPr>
              <w:t>10</w:t>
            </w:r>
            <w:r w:rsidR="00285F52">
              <w:rPr>
                <w:noProof/>
                <w:webHidden/>
              </w:rPr>
              <w:fldChar w:fldCharType="end"/>
            </w:r>
          </w:hyperlink>
        </w:p>
        <w:p w14:paraId="67299723" w14:textId="7304EC66"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71" w:history="1">
            <w:r w:rsidR="00285F52" w:rsidRPr="00FB3622">
              <w:rPr>
                <w:rStyle w:val="Hyperlink"/>
                <w:rFonts w:ascii="Arial" w:hAnsi="Arial" w:cs="Arial"/>
                <w:noProof/>
              </w:rPr>
              <w:t>1.4</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Research Aims and Objectives</w:t>
            </w:r>
            <w:r w:rsidR="00285F52">
              <w:rPr>
                <w:noProof/>
                <w:webHidden/>
              </w:rPr>
              <w:tab/>
            </w:r>
            <w:r w:rsidR="00285F52">
              <w:rPr>
                <w:noProof/>
                <w:webHidden/>
              </w:rPr>
              <w:fldChar w:fldCharType="begin"/>
            </w:r>
            <w:r w:rsidR="00285F52">
              <w:rPr>
                <w:noProof/>
                <w:webHidden/>
              </w:rPr>
              <w:instrText xml:space="preserve"> PAGEREF _Toc72189371 \h </w:instrText>
            </w:r>
            <w:r w:rsidR="00285F52">
              <w:rPr>
                <w:noProof/>
                <w:webHidden/>
              </w:rPr>
            </w:r>
            <w:r w:rsidR="00285F52">
              <w:rPr>
                <w:noProof/>
                <w:webHidden/>
              </w:rPr>
              <w:fldChar w:fldCharType="separate"/>
            </w:r>
            <w:r w:rsidR="00285F52">
              <w:rPr>
                <w:noProof/>
                <w:webHidden/>
              </w:rPr>
              <w:t>13</w:t>
            </w:r>
            <w:r w:rsidR="00285F52">
              <w:rPr>
                <w:noProof/>
                <w:webHidden/>
              </w:rPr>
              <w:fldChar w:fldCharType="end"/>
            </w:r>
          </w:hyperlink>
        </w:p>
        <w:p w14:paraId="41981725" w14:textId="291FBC57"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72" w:history="1">
            <w:r w:rsidR="00285F52" w:rsidRPr="00FB3622">
              <w:rPr>
                <w:rStyle w:val="Hyperlink"/>
                <w:rFonts w:ascii="Arial" w:hAnsi="Arial" w:cs="Arial"/>
                <w:noProof/>
              </w:rPr>
              <w:t>1.5</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Work Done</w:t>
            </w:r>
            <w:r w:rsidR="00285F52">
              <w:rPr>
                <w:noProof/>
                <w:webHidden/>
              </w:rPr>
              <w:tab/>
            </w:r>
            <w:r w:rsidR="00285F52">
              <w:rPr>
                <w:noProof/>
                <w:webHidden/>
              </w:rPr>
              <w:fldChar w:fldCharType="begin"/>
            </w:r>
            <w:r w:rsidR="00285F52">
              <w:rPr>
                <w:noProof/>
                <w:webHidden/>
              </w:rPr>
              <w:instrText xml:space="preserve"> PAGEREF _Toc72189372 \h </w:instrText>
            </w:r>
            <w:r w:rsidR="00285F52">
              <w:rPr>
                <w:noProof/>
                <w:webHidden/>
              </w:rPr>
            </w:r>
            <w:r w:rsidR="00285F52">
              <w:rPr>
                <w:noProof/>
                <w:webHidden/>
              </w:rPr>
              <w:fldChar w:fldCharType="separate"/>
            </w:r>
            <w:r w:rsidR="00285F52">
              <w:rPr>
                <w:noProof/>
                <w:webHidden/>
              </w:rPr>
              <w:t>16</w:t>
            </w:r>
            <w:r w:rsidR="00285F52">
              <w:rPr>
                <w:noProof/>
                <w:webHidden/>
              </w:rPr>
              <w:fldChar w:fldCharType="end"/>
            </w:r>
          </w:hyperlink>
        </w:p>
        <w:p w14:paraId="02BCC2D5" w14:textId="4C1BF3FF"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73" w:history="1">
            <w:r w:rsidR="00285F52" w:rsidRPr="00FB3622">
              <w:rPr>
                <w:rStyle w:val="Hyperlink"/>
                <w:rFonts w:ascii="Arial" w:hAnsi="Arial" w:cs="Arial"/>
                <w:noProof/>
              </w:rPr>
              <w:t>1.6</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Value of this Research</w:t>
            </w:r>
            <w:r w:rsidR="00285F52">
              <w:rPr>
                <w:noProof/>
                <w:webHidden/>
              </w:rPr>
              <w:tab/>
            </w:r>
            <w:r w:rsidR="00285F52">
              <w:rPr>
                <w:noProof/>
                <w:webHidden/>
              </w:rPr>
              <w:fldChar w:fldCharType="begin"/>
            </w:r>
            <w:r w:rsidR="00285F52">
              <w:rPr>
                <w:noProof/>
                <w:webHidden/>
              </w:rPr>
              <w:instrText xml:space="preserve"> PAGEREF _Toc72189373 \h </w:instrText>
            </w:r>
            <w:r w:rsidR="00285F52">
              <w:rPr>
                <w:noProof/>
                <w:webHidden/>
              </w:rPr>
            </w:r>
            <w:r w:rsidR="00285F52">
              <w:rPr>
                <w:noProof/>
                <w:webHidden/>
              </w:rPr>
              <w:fldChar w:fldCharType="separate"/>
            </w:r>
            <w:r w:rsidR="00285F52">
              <w:rPr>
                <w:noProof/>
                <w:webHidden/>
              </w:rPr>
              <w:t>17</w:t>
            </w:r>
            <w:r w:rsidR="00285F52">
              <w:rPr>
                <w:noProof/>
                <w:webHidden/>
              </w:rPr>
              <w:fldChar w:fldCharType="end"/>
            </w:r>
          </w:hyperlink>
        </w:p>
        <w:p w14:paraId="1E8B176F" w14:textId="2E75B264"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74" w:history="1">
            <w:r w:rsidR="00285F52" w:rsidRPr="00FB3622">
              <w:rPr>
                <w:rStyle w:val="Hyperlink"/>
                <w:rFonts w:ascii="Arial" w:hAnsi="Arial" w:cs="Arial"/>
                <w:noProof/>
              </w:rPr>
              <w:t>1.7</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Structure of the Report</w:t>
            </w:r>
            <w:r w:rsidR="00285F52">
              <w:rPr>
                <w:noProof/>
                <w:webHidden/>
              </w:rPr>
              <w:tab/>
            </w:r>
            <w:r w:rsidR="00285F52">
              <w:rPr>
                <w:noProof/>
                <w:webHidden/>
              </w:rPr>
              <w:fldChar w:fldCharType="begin"/>
            </w:r>
            <w:r w:rsidR="00285F52">
              <w:rPr>
                <w:noProof/>
                <w:webHidden/>
              </w:rPr>
              <w:instrText xml:space="preserve"> PAGEREF _Toc72189374 \h </w:instrText>
            </w:r>
            <w:r w:rsidR="00285F52">
              <w:rPr>
                <w:noProof/>
                <w:webHidden/>
              </w:rPr>
            </w:r>
            <w:r w:rsidR="00285F52">
              <w:rPr>
                <w:noProof/>
                <w:webHidden/>
              </w:rPr>
              <w:fldChar w:fldCharType="separate"/>
            </w:r>
            <w:r w:rsidR="00285F52">
              <w:rPr>
                <w:noProof/>
                <w:webHidden/>
              </w:rPr>
              <w:t>17</w:t>
            </w:r>
            <w:r w:rsidR="00285F52">
              <w:rPr>
                <w:noProof/>
                <w:webHidden/>
              </w:rPr>
              <w:fldChar w:fldCharType="end"/>
            </w:r>
          </w:hyperlink>
        </w:p>
        <w:p w14:paraId="590EBDB0" w14:textId="3B144274" w:rsidR="00285F52" w:rsidRDefault="00610B64">
          <w:pPr>
            <w:pStyle w:val="TOC1"/>
            <w:rPr>
              <w:rFonts w:asciiTheme="minorHAnsi" w:eastAsiaTheme="minorEastAsia" w:hAnsiTheme="minorHAnsi"/>
              <w:b w:val="0"/>
              <w:noProof/>
              <w:sz w:val="22"/>
              <w:lang w:eastAsia="en-GB"/>
            </w:rPr>
          </w:pPr>
          <w:hyperlink w:anchor="_Toc72189375" w:history="1">
            <w:r w:rsidR="00285F52" w:rsidRPr="00FB3622">
              <w:rPr>
                <w:rStyle w:val="Hyperlink"/>
                <w:rFonts w:ascii="Arial" w:hAnsi="Arial" w:cs="Arial"/>
                <w:noProof/>
              </w:rPr>
              <w:t>2</w:t>
            </w:r>
            <w:r w:rsidR="00285F52">
              <w:rPr>
                <w:rFonts w:asciiTheme="minorHAnsi" w:eastAsiaTheme="minorEastAsia" w:hAnsiTheme="minorHAnsi"/>
                <w:b w:val="0"/>
                <w:noProof/>
                <w:sz w:val="22"/>
                <w:lang w:eastAsia="en-GB"/>
              </w:rPr>
              <w:tab/>
            </w:r>
            <w:r w:rsidR="00285F52" w:rsidRPr="00FB3622">
              <w:rPr>
                <w:rStyle w:val="Hyperlink"/>
                <w:rFonts w:ascii="Arial" w:hAnsi="Arial" w:cs="Arial"/>
                <w:noProof/>
              </w:rPr>
              <w:t>Literature Review</w:t>
            </w:r>
            <w:r w:rsidR="00285F52">
              <w:rPr>
                <w:noProof/>
                <w:webHidden/>
              </w:rPr>
              <w:tab/>
            </w:r>
            <w:r w:rsidR="00285F52">
              <w:rPr>
                <w:noProof/>
                <w:webHidden/>
              </w:rPr>
              <w:fldChar w:fldCharType="begin"/>
            </w:r>
            <w:r w:rsidR="00285F52">
              <w:rPr>
                <w:noProof/>
                <w:webHidden/>
              </w:rPr>
              <w:instrText xml:space="preserve"> PAGEREF _Toc72189375 \h </w:instrText>
            </w:r>
            <w:r w:rsidR="00285F52">
              <w:rPr>
                <w:noProof/>
                <w:webHidden/>
              </w:rPr>
            </w:r>
            <w:r w:rsidR="00285F52">
              <w:rPr>
                <w:noProof/>
                <w:webHidden/>
              </w:rPr>
              <w:fldChar w:fldCharType="separate"/>
            </w:r>
            <w:r w:rsidR="00285F52">
              <w:rPr>
                <w:noProof/>
                <w:webHidden/>
              </w:rPr>
              <w:t>19</w:t>
            </w:r>
            <w:r w:rsidR="00285F52">
              <w:rPr>
                <w:noProof/>
                <w:webHidden/>
              </w:rPr>
              <w:fldChar w:fldCharType="end"/>
            </w:r>
          </w:hyperlink>
        </w:p>
        <w:p w14:paraId="258FFAE8" w14:textId="7591AF1F"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76" w:history="1">
            <w:r w:rsidR="00285F52" w:rsidRPr="00FB3622">
              <w:rPr>
                <w:rStyle w:val="Hyperlink"/>
                <w:rFonts w:ascii="Arial" w:hAnsi="Arial" w:cs="Arial"/>
                <w:noProof/>
              </w:rPr>
              <w:t>2.1</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Introduction</w:t>
            </w:r>
            <w:r w:rsidR="00285F52">
              <w:rPr>
                <w:noProof/>
                <w:webHidden/>
              </w:rPr>
              <w:tab/>
            </w:r>
            <w:r w:rsidR="00285F52">
              <w:rPr>
                <w:noProof/>
                <w:webHidden/>
              </w:rPr>
              <w:fldChar w:fldCharType="begin"/>
            </w:r>
            <w:r w:rsidR="00285F52">
              <w:rPr>
                <w:noProof/>
                <w:webHidden/>
              </w:rPr>
              <w:instrText xml:space="preserve"> PAGEREF _Toc72189376 \h </w:instrText>
            </w:r>
            <w:r w:rsidR="00285F52">
              <w:rPr>
                <w:noProof/>
                <w:webHidden/>
              </w:rPr>
            </w:r>
            <w:r w:rsidR="00285F52">
              <w:rPr>
                <w:noProof/>
                <w:webHidden/>
              </w:rPr>
              <w:fldChar w:fldCharType="separate"/>
            </w:r>
            <w:r w:rsidR="00285F52">
              <w:rPr>
                <w:noProof/>
                <w:webHidden/>
              </w:rPr>
              <w:t>19</w:t>
            </w:r>
            <w:r w:rsidR="00285F52">
              <w:rPr>
                <w:noProof/>
                <w:webHidden/>
              </w:rPr>
              <w:fldChar w:fldCharType="end"/>
            </w:r>
          </w:hyperlink>
        </w:p>
        <w:p w14:paraId="1F995453" w14:textId="75720B32"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77" w:history="1">
            <w:r w:rsidR="00285F52" w:rsidRPr="00FB3622">
              <w:rPr>
                <w:rStyle w:val="Hyperlink"/>
                <w:rFonts w:ascii="Arial" w:hAnsi="Arial" w:cs="Arial"/>
                <w:noProof/>
              </w:rPr>
              <w:t>2.2</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Operational Definition of Cyber Policy</w:t>
            </w:r>
            <w:r w:rsidR="00285F52">
              <w:rPr>
                <w:noProof/>
                <w:webHidden/>
              </w:rPr>
              <w:tab/>
            </w:r>
            <w:r w:rsidR="00285F52">
              <w:rPr>
                <w:noProof/>
                <w:webHidden/>
              </w:rPr>
              <w:fldChar w:fldCharType="begin"/>
            </w:r>
            <w:r w:rsidR="00285F52">
              <w:rPr>
                <w:noProof/>
                <w:webHidden/>
              </w:rPr>
              <w:instrText xml:space="preserve"> PAGEREF _Toc72189377 \h </w:instrText>
            </w:r>
            <w:r w:rsidR="00285F52">
              <w:rPr>
                <w:noProof/>
                <w:webHidden/>
              </w:rPr>
            </w:r>
            <w:r w:rsidR="00285F52">
              <w:rPr>
                <w:noProof/>
                <w:webHidden/>
              </w:rPr>
              <w:fldChar w:fldCharType="separate"/>
            </w:r>
            <w:r w:rsidR="00285F52">
              <w:rPr>
                <w:noProof/>
                <w:webHidden/>
              </w:rPr>
              <w:t>21</w:t>
            </w:r>
            <w:r w:rsidR="00285F52">
              <w:rPr>
                <w:noProof/>
                <w:webHidden/>
              </w:rPr>
              <w:fldChar w:fldCharType="end"/>
            </w:r>
          </w:hyperlink>
        </w:p>
        <w:p w14:paraId="5844B6EA" w14:textId="6910136E"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78" w:history="1">
            <w:r w:rsidR="00285F52" w:rsidRPr="00FB3622">
              <w:rPr>
                <w:rStyle w:val="Hyperlink"/>
                <w:rFonts w:ascii="Arial" w:hAnsi="Arial" w:cs="Arial"/>
                <w:noProof/>
              </w:rPr>
              <w:t>2.3</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Linkages between ITG and MSGS</w:t>
            </w:r>
            <w:r w:rsidR="00285F52">
              <w:rPr>
                <w:noProof/>
                <w:webHidden/>
              </w:rPr>
              <w:tab/>
            </w:r>
            <w:r w:rsidR="00285F52">
              <w:rPr>
                <w:noProof/>
                <w:webHidden/>
              </w:rPr>
              <w:fldChar w:fldCharType="begin"/>
            </w:r>
            <w:r w:rsidR="00285F52">
              <w:rPr>
                <w:noProof/>
                <w:webHidden/>
              </w:rPr>
              <w:instrText xml:space="preserve"> PAGEREF _Toc72189378 \h </w:instrText>
            </w:r>
            <w:r w:rsidR="00285F52">
              <w:rPr>
                <w:noProof/>
                <w:webHidden/>
              </w:rPr>
            </w:r>
            <w:r w:rsidR="00285F52">
              <w:rPr>
                <w:noProof/>
                <w:webHidden/>
              </w:rPr>
              <w:fldChar w:fldCharType="separate"/>
            </w:r>
            <w:r w:rsidR="00285F52">
              <w:rPr>
                <w:noProof/>
                <w:webHidden/>
              </w:rPr>
              <w:t>23</w:t>
            </w:r>
            <w:r w:rsidR="00285F52">
              <w:rPr>
                <w:noProof/>
                <w:webHidden/>
              </w:rPr>
              <w:fldChar w:fldCharType="end"/>
            </w:r>
          </w:hyperlink>
        </w:p>
        <w:p w14:paraId="5F2A02C7" w14:textId="26005E96"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79" w:history="1">
            <w:r w:rsidR="00285F52" w:rsidRPr="00FB3622">
              <w:rPr>
                <w:rStyle w:val="Hyperlink"/>
                <w:rFonts w:ascii="Arial" w:hAnsi="Arial" w:cs="Arial"/>
                <w:noProof/>
              </w:rPr>
              <w:t>2.4</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Scaling and Scalability mechanisms to Decision Making Strategy</w:t>
            </w:r>
            <w:r w:rsidR="00285F52">
              <w:rPr>
                <w:noProof/>
                <w:webHidden/>
              </w:rPr>
              <w:tab/>
            </w:r>
            <w:r w:rsidR="00285F52">
              <w:rPr>
                <w:noProof/>
                <w:webHidden/>
              </w:rPr>
              <w:fldChar w:fldCharType="begin"/>
            </w:r>
            <w:r w:rsidR="00285F52">
              <w:rPr>
                <w:noProof/>
                <w:webHidden/>
              </w:rPr>
              <w:instrText xml:space="preserve"> PAGEREF _Toc72189379 \h </w:instrText>
            </w:r>
            <w:r w:rsidR="00285F52">
              <w:rPr>
                <w:noProof/>
                <w:webHidden/>
              </w:rPr>
            </w:r>
            <w:r w:rsidR="00285F52">
              <w:rPr>
                <w:noProof/>
                <w:webHidden/>
              </w:rPr>
              <w:fldChar w:fldCharType="separate"/>
            </w:r>
            <w:r w:rsidR="00285F52">
              <w:rPr>
                <w:noProof/>
                <w:webHidden/>
              </w:rPr>
              <w:t>27</w:t>
            </w:r>
            <w:r w:rsidR="00285F52">
              <w:rPr>
                <w:noProof/>
                <w:webHidden/>
              </w:rPr>
              <w:fldChar w:fldCharType="end"/>
            </w:r>
          </w:hyperlink>
        </w:p>
        <w:p w14:paraId="69B968FA" w14:textId="2CA8A65F"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80" w:history="1">
            <w:r w:rsidR="00285F52" w:rsidRPr="00FB3622">
              <w:rPr>
                <w:rStyle w:val="Hyperlink"/>
                <w:rFonts w:ascii="Arial" w:hAnsi="Arial" w:cs="Arial"/>
                <w:noProof/>
              </w:rPr>
              <w:t>2.5</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Scaling as a Security Strategy to support Cyber Policy Decision Makers</w:t>
            </w:r>
            <w:r w:rsidR="00285F52">
              <w:rPr>
                <w:noProof/>
                <w:webHidden/>
              </w:rPr>
              <w:tab/>
            </w:r>
            <w:r w:rsidR="00285F52">
              <w:rPr>
                <w:noProof/>
                <w:webHidden/>
              </w:rPr>
              <w:fldChar w:fldCharType="begin"/>
            </w:r>
            <w:r w:rsidR="00285F52">
              <w:rPr>
                <w:noProof/>
                <w:webHidden/>
              </w:rPr>
              <w:instrText xml:space="preserve"> PAGEREF _Toc72189380 \h </w:instrText>
            </w:r>
            <w:r w:rsidR="00285F52">
              <w:rPr>
                <w:noProof/>
                <w:webHidden/>
              </w:rPr>
            </w:r>
            <w:r w:rsidR="00285F52">
              <w:rPr>
                <w:noProof/>
                <w:webHidden/>
              </w:rPr>
              <w:fldChar w:fldCharType="separate"/>
            </w:r>
            <w:r w:rsidR="00285F52">
              <w:rPr>
                <w:noProof/>
                <w:webHidden/>
              </w:rPr>
              <w:t>30</w:t>
            </w:r>
            <w:r w:rsidR="00285F52">
              <w:rPr>
                <w:noProof/>
                <w:webHidden/>
              </w:rPr>
              <w:fldChar w:fldCharType="end"/>
            </w:r>
          </w:hyperlink>
        </w:p>
        <w:p w14:paraId="08FD331D" w14:textId="409D6091"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81" w:history="1">
            <w:r w:rsidR="00285F52" w:rsidRPr="00FB3622">
              <w:rPr>
                <w:rStyle w:val="Hyperlink"/>
                <w:rFonts w:ascii="Arial" w:hAnsi="Arial" w:cs="Arial"/>
                <w:noProof/>
              </w:rPr>
              <w:t>2.6</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Emerging issues and need for Secondary Data Exploratory Research</w:t>
            </w:r>
            <w:r w:rsidR="00285F52">
              <w:rPr>
                <w:noProof/>
                <w:webHidden/>
              </w:rPr>
              <w:tab/>
            </w:r>
            <w:r w:rsidR="00285F52">
              <w:rPr>
                <w:noProof/>
                <w:webHidden/>
              </w:rPr>
              <w:fldChar w:fldCharType="begin"/>
            </w:r>
            <w:r w:rsidR="00285F52">
              <w:rPr>
                <w:noProof/>
                <w:webHidden/>
              </w:rPr>
              <w:instrText xml:space="preserve"> PAGEREF _Toc72189381 \h </w:instrText>
            </w:r>
            <w:r w:rsidR="00285F52">
              <w:rPr>
                <w:noProof/>
                <w:webHidden/>
              </w:rPr>
            </w:r>
            <w:r w:rsidR="00285F52">
              <w:rPr>
                <w:noProof/>
                <w:webHidden/>
              </w:rPr>
              <w:fldChar w:fldCharType="separate"/>
            </w:r>
            <w:r w:rsidR="00285F52">
              <w:rPr>
                <w:noProof/>
                <w:webHidden/>
              </w:rPr>
              <w:t>36</w:t>
            </w:r>
            <w:r w:rsidR="00285F52">
              <w:rPr>
                <w:noProof/>
                <w:webHidden/>
              </w:rPr>
              <w:fldChar w:fldCharType="end"/>
            </w:r>
          </w:hyperlink>
        </w:p>
        <w:p w14:paraId="749E8F69" w14:textId="239956C3" w:rsidR="00285F52" w:rsidRDefault="00610B64">
          <w:pPr>
            <w:pStyle w:val="TOC1"/>
            <w:rPr>
              <w:rFonts w:asciiTheme="minorHAnsi" w:eastAsiaTheme="minorEastAsia" w:hAnsiTheme="minorHAnsi"/>
              <w:b w:val="0"/>
              <w:noProof/>
              <w:sz w:val="22"/>
              <w:lang w:eastAsia="en-GB"/>
            </w:rPr>
          </w:pPr>
          <w:hyperlink w:anchor="_Toc72189382" w:history="1">
            <w:r w:rsidR="00285F52" w:rsidRPr="00FB3622">
              <w:rPr>
                <w:rStyle w:val="Hyperlink"/>
                <w:rFonts w:ascii="Arial" w:hAnsi="Arial" w:cs="Arial"/>
                <w:noProof/>
              </w:rPr>
              <w:t>3</w:t>
            </w:r>
            <w:r w:rsidR="00285F52">
              <w:rPr>
                <w:rFonts w:asciiTheme="minorHAnsi" w:eastAsiaTheme="minorEastAsia" w:hAnsiTheme="minorHAnsi"/>
                <w:b w:val="0"/>
                <w:noProof/>
                <w:sz w:val="22"/>
                <w:lang w:eastAsia="en-GB"/>
              </w:rPr>
              <w:tab/>
            </w:r>
            <w:r w:rsidR="00285F52" w:rsidRPr="00FB3622">
              <w:rPr>
                <w:rStyle w:val="Hyperlink"/>
                <w:rFonts w:ascii="Arial" w:hAnsi="Arial" w:cs="Arial"/>
                <w:noProof/>
              </w:rPr>
              <w:t>Research Methods</w:t>
            </w:r>
            <w:r w:rsidR="00285F52">
              <w:rPr>
                <w:noProof/>
                <w:webHidden/>
              </w:rPr>
              <w:tab/>
            </w:r>
            <w:r w:rsidR="00285F52">
              <w:rPr>
                <w:noProof/>
                <w:webHidden/>
              </w:rPr>
              <w:fldChar w:fldCharType="begin"/>
            </w:r>
            <w:r w:rsidR="00285F52">
              <w:rPr>
                <w:noProof/>
                <w:webHidden/>
              </w:rPr>
              <w:instrText xml:space="preserve"> PAGEREF _Toc72189382 \h </w:instrText>
            </w:r>
            <w:r w:rsidR="00285F52">
              <w:rPr>
                <w:noProof/>
                <w:webHidden/>
              </w:rPr>
            </w:r>
            <w:r w:rsidR="00285F52">
              <w:rPr>
                <w:noProof/>
                <w:webHidden/>
              </w:rPr>
              <w:fldChar w:fldCharType="separate"/>
            </w:r>
            <w:r w:rsidR="00285F52">
              <w:rPr>
                <w:noProof/>
                <w:webHidden/>
              </w:rPr>
              <w:t>40</w:t>
            </w:r>
            <w:r w:rsidR="00285F52">
              <w:rPr>
                <w:noProof/>
                <w:webHidden/>
              </w:rPr>
              <w:fldChar w:fldCharType="end"/>
            </w:r>
          </w:hyperlink>
        </w:p>
        <w:p w14:paraId="01F0B1F9" w14:textId="1075F0F2"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83" w:history="1">
            <w:r w:rsidR="00285F52" w:rsidRPr="00FB3622">
              <w:rPr>
                <w:rStyle w:val="Hyperlink"/>
                <w:rFonts w:ascii="Arial" w:hAnsi="Arial" w:cs="Arial"/>
                <w:noProof/>
              </w:rPr>
              <w:t>3.1</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Research Strategy and Justification</w:t>
            </w:r>
            <w:r w:rsidR="00285F52">
              <w:rPr>
                <w:noProof/>
                <w:webHidden/>
              </w:rPr>
              <w:tab/>
            </w:r>
            <w:r w:rsidR="00285F52">
              <w:rPr>
                <w:noProof/>
                <w:webHidden/>
              </w:rPr>
              <w:fldChar w:fldCharType="begin"/>
            </w:r>
            <w:r w:rsidR="00285F52">
              <w:rPr>
                <w:noProof/>
                <w:webHidden/>
              </w:rPr>
              <w:instrText xml:space="preserve"> PAGEREF _Toc72189383 \h </w:instrText>
            </w:r>
            <w:r w:rsidR="00285F52">
              <w:rPr>
                <w:noProof/>
                <w:webHidden/>
              </w:rPr>
            </w:r>
            <w:r w:rsidR="00285F52">
              <w:rPr>
                <w:noProof/>
                <w:webHidden/>
              </w:rPr>
              <w:fldChar w:fldCharType="separate"/>
            </w:r>
            <w:r w:rsidR="00285F52">
              <w:rPr>
                <w:noProof/>
                <w:webHidden/>
              </w:rPr>
              <w:t>43</w:t>
            </w:r>
            <w:r w:rsidR="00285F52">
              <w:rPr>
                <w:noProof/>
                <w:webHidden/>
              </w:rPr>
              <w:fldChar w:fldCharType="end"/>
            </w:r>
          </w:hyperlink>
        </w:p>
        <w:p w14:paraId="09E856A2" w14:textId="04391D87"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84" w:history="1">
            <w:r w:rsidR="00285F52" w:rsidRPr="00FB3622">
              <w:rPr>
                <w:rStyle w:val="Hyperlink"/>
                <w:rFonts w:ascii="Arial" w:hAnsi="Arial" w:cs="Arial"/>
                <w:noProof/>
              </w:rPr>
              <w:t>3.2</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Data Collection</w:t>
            </w:r>
            <w:r w:rsidR="00285F52">
              <w:rPr>
                <w:noProof/>
                <w:webHidden/>
              </w:rPr>
              <w:tab/>
            </w:r>
            <w:r w:rsidR="00285F52">
              <w:rPr>
                <w:noProof/>
                <w:webHidden/>
              </w:rPr>
              <w:fldChar w:fldCharType="begin"/>
            </w:r>
            <w:r w:rsidR="00285F52">
              <w:rPr>
                <w:noProof/>
                <w:webHidden/>
              </w:rPr>
              <w:instrText xml:space="preserve"> PAGEREF _Toc72189384 \h </w:instrText>
            </w:r>
            <w:r w:rsidR="00285F52">
              <w:rPr>
                <w:noProof/>
                <w:webHidden/>
              </w:rPr>
            </w:r>
            <w:r w:rsidR="00285F52">
              <w:rPr>
                <w:noProof/>
                <w:webHidden/>
              </w:rPr>
              <w:fldChar w:fldCharType="separate"/>
            </w:r>
            <w:r w:rsidR="00285F52">
              <w:rPr>
                <w:noProof/>
                <w:webHidden/>
              </w:rPr>
              <w:t>46</w:t>
            </w:r>
            <w:r w:rsidR="00285F52">
              <w:rPr>
                <w:noProof/>
                <w:webHidden/>
              </w:rPr>
              <w:fldChar w:fldCharType="end"/>
            </w:r>
          </w:hyperlink>
        </w:p>
        <w:p w14:paraId="315028AC" w14:textId="382A9129"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85" w:history="1">
            <w:r w:rsidR="00285F52" w:rsidRPr="00FB3622">
              <w:rPr>
                <w:rStyle w:val="Hyperlink"/>
                <w:rFonts w:ascii="Arial" w:hAnsi="Arial" w:cs="Arial"/>
                <w:noProof/>
              </w:rPr>
              <w:t>3.3</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Data Collection Methods</w:t>
            </w:r>
            <w:r w:rsidR="00285F52">
              <w:rPr>
                <w:noProof/>
                <w:webHidden/>
              </w:rPr>
              <w:tab/>
            </w:r>
            <w:r w:rsidR="00285F52">
              <w:rPr>
                <w:noProof/>
                <w:webHidden/>
              </w:rPr>
              <w:fldChar w:fldCharType="begin"/>
            </w:r>
            <w:r w:rsidR="00285F52">
              <w:rPr>
                <w:noProof/>
                <w:webHidden/>
              </w:rPr>
              <w:instrText xml:space="preserve"> PAGEREF _Toc72189385 \h </w:instrText>
            </w:r>
            <w:r w:rsidR="00285F52">
              <w:rPr>
                <w:noProof/>
                <w:webHidden/>
              </w:rPr>
            </w:r>
            <w:r w:rsidR="00285F52">
              <w:rPr>
                <w:noProof/>
                <w:webHidden/>
              </w:rPr>
              <w:fldChar w:fldCharType="separate"/>
            </w:r>
            <w:r w:rsidR="00285F52">
              <w:rPr>
                <w:noProof/>
                <w:webHidden/>
              </w:rPr>
              <w:t>51</w:t>
            </w:r>
            <w:r w:rsidR="00285F52">
              <w:rPr>
                <w:noProof/>
                <w:webHidden/>
              </w:rPr>
              <w:fldChar w:fldCharType="end"/>
            </w:r>
          </w:hyperlink>
        </w:p>
        <w:p w14:paraId="6B351235" w14:textId="1ECD9934"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86" w:history="1">
            <w:r w:rsidR="00285F52" w:rsidRPr="00FB3622">
              <w:rPr>
                <w:rStyle w:val="Hyperlink"/>
                <w:rFonts w:ascii="Arial" w:hAnsi="Arial" w:cs="Arial"/>
                <w:noProof/>
              </w:rPr>
              <w:t>3.4</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Framework for Analysis</w:t>
            </w:r>
            <w:r w:rsidR="00285F52">
              <w:rPr>
                <w:noProof/>
                <w:webHidden/>
              </w:rPr>
              <w:tab/>
            </w:r>
            <w:r w:rsidR="00285F52">
              <w:rPr>
                <w:noProof/>
                <w:webHidden/>
              </w:rPr>
              <w:fldChar w:fldCharType="begin"/>
            </w:r>
            <w:r w:rsidR="00285F52">
              <w:rPr>
                <w:noProof/>
                <w:webHidden/>
              </w:rPr>
              <w:instrText xml:space="preserve"> PAGEREF _Toc72189386 \h </w:instrText>
            </w:r>
            <w:r w:rsidR="00285F52">
              <w:rPr>
                <w:noProof/>
                <w:webHidden/>
              </w:rPr>
            </w:r>
            <w:r w:rsidR="00285F52">
              <w:rPr>
                <w:noProof/>
                <w:webHidden/>
              </w:rPr>
              <w:fldChar w:fldCharType="separate"/>
            </w:r>
            <w:r w:rsidR="00285F52">
              <w:rPr>
                <w:noProof/>
                <w:webHidden/>
              </w:rPr>
              <w:t>52</w:t>
            </w:r>
            <w:r w:rsidR="00285F52">
              <w:rPr>
                <w:noProof/>
                <w:webHidden/>
              </w:rPr>
              <w:fldChar w:fldCharType="end"/>
            </w:r>
          </w:hyperlink>
        </w:p>
        <w:p w14:paraId="6E087400" w14:textId="44EEB0DD"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87" w:history="1">
            <w:r w:rsidR="00285F52" w:rsidRPr="00FB3622">
              <w:rPr>
                <w:rStyle w:val="Hyperlink"/>
                <w:rFonts w:ascii="Arial" w:hAnsi="Arial" w:cs="Arial"/>
                <w:noProof/>
              </w:rPr>
              <w:t>3.5</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Limitations and Potential Challenges</w:t>
            </w:r>
            <w:r w:rsidR="00285F52">
              <w:rPr>
                <w:noProof/>
                <w:webHidden/>
              </w:rPr>
              <w:tab/>
            </w:r>
            <w:r w:rsidR="00285F52">
              <w:rPr>
                <w:noProof/>
                <w:webHidden/>
              </w:rPr>
              <w:fldChar w:fldCharType="begin"/>
            </w:r>
            <w:r w:rsidR="00285F52">
              <w:rPr>
                <w:noProof/>
                <w:webHidden/>
              </w:rPr>
              <w:instrText xml:space="preserve"> PAGEREF _Toc72189387 \h </w:instrText>
            </w:r>
            <w:r w:rsidR="00285F52">
              <w:rPr>
                <w:noProof/>
                <w:webHidden/>
              </w:rPr>
            </w:r>
            <w:r w:rsidR="00285F52">
              <w:rPr>
                <w:noProof/>
                <w:webHidden/>
              </w:rPr>
              <w:fldChar w:fldCharType="separate"/>
            </w:r>
            <w:r w:rsidR="00285F52">
              <w:rPr>
                <w:noProof/>
                <w:webHidden/>
              </w:rPr>
              <w:t>55</w:t>
            </w:r>
            <w:r w:rsidR="00285F52">
              <w:rPr>
                <w:noProof/>
                <w:webHidden/>
              </w:rPr>
              <w:fldChar w:fldCharType="end"/>
            </w:r>
          </w:hyperlink>
        </w:p>
        <w:p w14:paraId="55570615" w14:textId="3F5D9BEC" w:rsidR="00285F52" w:rsidRDefault="00610B64">
          <w:pPr>
            <w:pStyle w:val="TOC1"/>
            <w:rPr>
              <w:rFonts w:asciiTheme="minorHAnsi" w:eastAsiaTheme="minorEastAsia" w:hAnsiTheme="minorHAnsi"/>
              <w:b w:val="0"/>
              <w:noProof/>
              <w:sz w:val="22"/>
              <w:lang w:eastAsia="en-GB"/>
            </w:rPr>
          </w:pPr>
          <w:hyperlink w:anchor="_Toc72189388" w:history="1">
            <w:r w:rsidR="00285F52" w:rsidRPr="00FB3622">
              <w:rPr>
                <w:rStyle w:val="Hyperlink"/>
                <w:rFonts w:ascii="Arial" w:hAnsi="Arial" w:cs="Arial"/>
                <w:noProof/>
              </w:rPr>
              <w:t>4</w:t>
            </w:r>
            <w:r w:rsidR="00285F52">
              <w:rPr>
                <w:rFonts w:asciiTheme="minorHAnsi" w:eastAsiaTheme="minorEastAsia" w:hAnsiTheme="minorHAnsi"/>
                <w:b w:val="0"/>
                <w:noProof/>
                <w:sz w:val="22"/>
                <w:lang w:eastAsia="en-GB"/>
              </w:rPr>
              <w:tab/>
            </w:r>
            <w:r w:rsidR="00285F52" w:rsidRPr="00FB3622">
              <w:rPr>
                <w:rStyle w:val="Hyperlink"/>
                <w:rFonts w:ascii="Arial" w:hAnsi="Arial" w:cs="Arial"/>
                <w:noProof/>
              </w:rPr>
              <w:t>Study Findings: Description, Analysis and Synthesis</w:t>
            </w:r>
            <w:r w:rsidR="00285F52">
              <w:rPr>
                <w:noProof/>
                <w:webHidden/>
              </w:rPr>
              <w:tab/>
            </w:r>
            <w:r w:rsidR="00285F52">
              <w:rPr>
                <w:noProof/>
                <w:webHidden/>
              </w:rPr>
              <w:fldChar w:fldCharType="begin"/>
            </w:r>
            <w:r w:rsidR="00285F52">
              <w:rPr>
                <w:noProof/>
                <w:webHidden/>
              </w:rPr>
              <w:instrText xml:space="preserve"> PAGEREF _Toc72189388 \h </w:instrText>
            </w:r>
            <w:r w:rsidR="00285F52">
              <w:rPr>
                <w:noProof/>
                <w:webHidden/>
              </w:rPr>
            </w:r>
            <w:r w:rsidR="00285F52">
              <w:rPr>
                <w:noProof/>
                <w:webHidden/>
              </w:rPr>
              <w:fldChar w:fldCharType="separate"/>
            </w:r>
            <w:r w:rsidR="00285F52">
              <w:rPr>
                <w:noProof/>
                <w:webHidden/>
              </w:rPr>
              <w:t>57</w:t>
            </w:r>
            <w:r w:rsidR="00285F52">
              <w:rPr>
                <w:noProof/>
                <w:webHidden/>
              </w:rPr>
              <w:fldChar w:fldCharType="end"/>
            </w:r>
          </w:hyperlink>
        </w:p>
        <w:p w14:paraId="069124A1" w14:textId="0A599E3F"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89" w:history="1">
            <w:r w:rsidR="00285F52" w:rsidRPr="00FB3622">
              <w:rPr>
                <w:rStyle w:val="Hyperlink"/>
                <w:rFonts w:ascii="Arial" w:hAnsi="Arial" w:cs="Arial"/>
                <w:noProof/>
              </w:rPr>
              <w:t>4.1</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Description of the Result obtained from the Primary Data</w:t>
            </w:r>
            <w:r w:rsidR="00285F52">
              <w:rPr>
                <w:noProof/>
                <w:webHidden/>
              </w:rPr>
              <w:tab/>
            </w:r>
            <w:r w:rsidR="00285F52">
              <w:rPr>
                <w:noProof/>
                <w:webHidden/>
              </w:rPr>
              <w:fldChar w:fldCharType="begin"/>
            </w:r>
            <w:r w:rsidR="00285F52">
              <w:rPr>
                <w:noProof/>
                <w:webHidden/>
              </w:rPr>
              <w:instrText xml:space="preserve"> PAGEREF _Toc72189389 \h </w:instrText>
            </w:r>
            <w:r w:rsidR="00285F52">
              <w:rPr>
                <w:noProof/>
                <w:webHidden/>
              </w:rPr>
            </w:r>
            <w:r w:rsidR="00285F52">
              <w:rPr>
                <w:noProof/>
                <w:webHidden/>
              </w:rPr>
              <w:fldChar w:fldCharType="separate"/>
            </w:r>
            <w:r w:rsidR="00285F52">
              <w:rPr>
                <w:noProof/>
                <w:webHidden/>
              </w:rPr>
              <w:t>57</w:t>
            </w:r>
            <w:r w:rsidR="00285F52">
              <w:rPr>
                <w:noProof/>
                <w:webHidden/>
              </w:rPr>
              <w:fldChar w:fldCharType="end"/>
            </w:r>
          </w:hyperlink>
        </w:p>
        <w:p w14:paraId="0936F588" w14:textId="2A11F0AF"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90" w:history="1">
            <w:r w:rsidR="00285F52" w:rsidRPr="00FB3622">
              <w:rPr>
                <w:rStyle w:val="Hyperlink"/>
                <w:rFonts w:ascii="Arial" w:hAnsi="Arial" w:cs="Arial"/>
                <w:noProof/>
              </w:rPr>
              <w:t>4.2</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The relationships identified from the Dataset</w:t>
            </w:r>
            <w:r w:rsidR="00285F52">
              <w:rPr>
                <w:noProof/>
                <w:webHidden/>
              </w:rPr>
              <w:tab/>
            </w:r>
            <w:r w:rsidR="00285F52">
              <w:rPr>
                <w:noProof/>
                <w:webHidden/>
              </w:rPr>
              <w:fldChar w:fldCharType="begin"/>
            </w:r>
            <w:r w:rsidR="00285F52">
              <w:rPr>
                <w:noProof/>
                <w:webHidden/>
              </w:rPr>
              <w:instrText xml:space="preserve"> PAGEREF _Toc72189390 \h </w:instrText>
            </w:r>
            <w:r w:rsidR="00285F52">
              <w:rPr>
                <w:noProof/>
                <w:webHidden/>
              </w:rPr>
            </w:r>
            <w:r w:rsidR="00285F52">
              <w:rPr>
                <w:noProof/>
                <w:webHidden/>
              </w:rPr>
              <w:fldChar w:fldCharType="separate"/>
            </w:r>
            <w:r w:rsidR="00285F52">
              <w:rPr>
                <w:noProof/>
                <w:webHidden/>
              </w:rPr>
              <w:t>58</w:t>
            </w:r>
            <w:r w:rsidR="00285F52">
              <w:rPr>
                <w:noProof/>
                <w:webHidden/>
              </w:rPr>
              <w:fldChar w:fldCharType="end"/>
            </w:r>
          </w:hyperlink>
        </w:p>
        <w:p w14:paraId="1C7608FF" w14:textId="4271E551"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91" w:history="1">
            <w:r w:rsidR="00285F52" w:rsidRPr="00FB3622">
              <w:rPr>
                <w:rStyle w:val="Hyperlink"/>
                <w:rFonts w:ascii="Arial" w:hAnsi="Arial" w:cs="Arial"/>
                <w:noProof/>
              </w:rPr>
              <w:t>4.3</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Application of Principal Component Analysis (PCA)</w:t>
            </w:r>
            <w:r w:rsidR="00285F52">
              <w:rPr>
                <w:noProof/>
                <w:webHidden/>
              </w:rPr>
              <w:tab/>
            </w:r>
            <w:r w:rsidR="00285F52">
              <w:rPr>
                <w:noProof/>
                <w:webHidden/>
              </w:rPr>
              <w:fldChar w:fldCharType="begin"/>
            </w:r>
            <w:r w:rsidR="00285F52">
              <w:rPr>
                <w:noProof/>
                <w:webHidden/>
              </w:rPr>
              <w:instrText xml:space="preserve"> PAGEREF _Toc72189391 \h </w:instrText>
            </w:r>
            <w:r w:rsidR="00285F52">
              <w:rPr>
                <w:noProof/>
                <w:webHidden/>
              </w:rPr>
            </w:r>
            <w:r w:rsidR="00285F52">
              <w:rPr>
                <w:noProof/>
                <w:webHidden/>
              </w:rPr>
              <w:fldChar w:fldCharType="separate"/>
            </w:r>
            <w:r w:rsidR="00285F52">
              <w:rPr>
                <w:noProof/>
                <w:webHidden/>
              </w:rPr>
              <w:t>64</w:t>
            </w:r>
            <w:r w:rsidR="00285F52">
              <w:rPr>
                <w:noProof/>
                <w:webHidden/>
              </w:rPr>
              <w:fldChar w:fldCharType="end"/>
            </w:r>
          </w:hyperlink>
        </w:p>
        <w:p w14:paraId="7743E704" w14:textId="1676F5D4"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92" w:history="1">
            <w:r w:rsidR="00285F52" w:rsidRPr="00FB3622">
              <w:rPr>
                <w:rStyle w:val="Hyperlink"/>
                <w:rFonts w:ascii="Arial" w:hAnsi="Arial" w:cs="Arial"/>
                <w:noProof/>
              </w:rPr>
              <w:t>4.4</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Application of Link Analysis (LA)</w:t>
            </w:r>
            <w:r w:rsidR="00285F52">
              <w:rPr>
                <w:noProof/>
                <w:webHidden/>
              </w:rPr>
              <w:tab/>
            </w:r>
            <w:r w:rsidR="00285F52">
              <w:rPr>
                <w:noProof/>
                <w:webHidden/>
              </w:rPr>
              <w:fldChar w:fldCharType="begin"/>
            </w:r>
            <w:r w:rsidR="00285F52">
              <w:rPr>
                <w:noProof/>
                <w:webHidden/>
              </w:rPr>
              <w:instrText xml:space="preserve"> PAGEREF _Toc72189392 \h </w:instrText>
            </w:r>
            <w:r w:rsidR="00285F52">
              <w:rPr>
                <w:noProof/>
                <w:webHidden/>
              </w:rPr>
            </w:r>
            <w:r w:rsidR="00285F52">
              <w:rPr>
                <w:noProof/>
                <w:webHidden/>
              </w:rPr>
              <w:fldChar w:fldCharType="separate"/>
            </w:r>
            <w:r w:rsidR="00285F52">
              <w:rPr>
                <w:noProof/>
                <w:webHidden/>
              </w:rPr>
              <w:t>66</w:t>
            </w:r>
            <w:r w:rsidR="00285F52">
              <w:rPr>
                <w:noProof/>
                <w:webHidden/>
              </w:rPr>
              <w:fldChar w:fldCharType="end"/>
            </w:r>
          </w:hyperlink>
        </w:p>
        <w:p w14:paraId="03027021" w14:textId="2FA5E130"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93" w:history="1">
            <w:r w:rsidR="00285F52" w:rsidRPr="00FB3622">
              <w:rPr>
                <w:rStyle w:val="Hyperlink"/>
                <w:rFonts w:ascii="Arial" w:hAnsi="Arial" w:cs="Arial"/>
                <w:noProof/>
              </w:rPr>
              <w:t>4.5</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Summary of Findings</w:t>
            </w:r>
            <w:r w:rsidR="00285F52">
              <w:rPr>
                <w:noProof/>
                <w:webHidden/>
              </w:rPr>
              <w:tab/>
            </w:r>
            <w:r w:rsidR="00285F52">
              <w:rPr>
                <w:noProof/>
                <w:webHidden/>
              </w:rPr>
              <w:fldChar w:fldCharType="begin"/>
            </w:r>
            <w:r w:rsidR="00285F52">
              <w:rPr>
                <w:noProof/>
                <w:webHidden/>
              </w:rPr>
              <w:instrText xml:space="preserve"> PAGEREF _Toc72189393 \h </w:instrText>
            </w:r>
            <w:r w:rsidR="00285F52">
              <w:rPr>
                <w:noProof/>
                <w:webHidden/>
              </w:rPr>
            </w:r>
            <w:r w:rsidR="00285F52">
              <w:rPr>
                <w:noProof/>
                <w:webHidden/>
              </w:rPr>
              <w:fldChar w:fldCharType="separate"/>
            </w:r>
            <w:r w:rsidR="00285F52">
              <w:rPr>
                <w:noProof/>
                <w:webHidden/>
              </w:rPr>
              <w:t>68</w:t>
            </w:r>
            <w:r w:rsidR="00285F52">
              <w:rPr>
                <w:noProof/>
                <w:webHidden/>
              </w:rPr>
              <w:fldChar w:fldCharType="end"/>
            </w:r>
          </w:hyperlink>
        </w:p>
        <w:p w14:paraId="0F945637" w14:textId="10DA5C32" w:rsidR="00285F52" w:rsidRDefault="00610B64">
          <w:pPr>
            <w:pStyle w:val="TOC1"/>
            <w:rPr>
              <w:rFonts w:asciiTheme="minorHAnsi" w:eastAsiaTheme="minorEastAsia" w:hAnsiTheme="minorHAnsi"/>
              <w:b w:val="0"/>
              <w:noProof/>
              <w:sz w:val="22"/>
              <w:lang w:eastAsia="en-GB"/>
            </w:rPr>
          </w:pPr>
          <w:hyperlink w:anchor="_Toc72189394" w:history="1">
            <w:r w:rsidR="00285F52" w:rsidRPr="00FB3622">
              <w:rPr>
                <w:rStyle w:val="Hyperlink"/>
                <w:rFonts w:ascii="Arial" w:hAnsi="Arial" w:cs="Arial"/>
                <w:noProof/>
              </w:rPr>
              <w:t>5</w:t>
            </w:r>
            <w:r w:rsidR="00285F52">
              <w:rPr>
                <w:rFonts w:asciiTheme="minorHAnsi" w:eastAsiaTheme="minorEastAsia" w:hAnsiTheme="minorHAnsi"/>
                <w:b w:val="0"/>
                <w:noProof/>
                <w:sz w:val="22"/>
                <w:lang w:eastAsia="en-GB"/>
              </w:rPr>
              <w:tab/>
            </w:r>
            <w:r w:rsidR="00285F52" w:rsidRPr="00FB3622">
              <w:rPr>
                <w:rStyle w:val="Hyperlink"/>
                <w:rFonts w:ascii="Arial" w:hAnsi="Arial" w:cs="Arial"/>
                <w:noProof/>
              </w:rPr>
              <w:t>Conclusions and Recommendations</w:t>
            </w:r>
            <w:r w:rsidR="00285F52">
              <w:rPr>
                <w:noProof/>
                <w:webHidden/>
              </w:rPr>
              <w:tab/>
            </w:r>
            <w:r w:rsidR="00285F52">
              <w:rPr>
                <w:noProof/>
                <w:webHidden/>
              </w:rPr>
              <w:fldChar w:fldCharType="begin"/>
            </w:r>
            <w:r w:rsidR="00285F52">
              <w:rPr>
                <w:noProof/>
                <w:webHidden/>
              </w:rPr>
              <w:instrText xml:space="preserve"> PAGEREF _Toc72189394 \h </w:instrText>
            </w:r>
            <w:r w:rsidR="00285F52">
              <w:rPr>
                <w:noProof/>
                <w:webHidden/>
              </w:rPr>
            </w:r>
            <w:r w:rsidR="00285F52">
              <w:rPr>
                <w:noProof/>
                <w:webHidden/>
              </w:rPr>
              <w:fldChar w:fldCharType="separate"/>
            </w:r>
            <w:r w:rsidR="00285F52">
              <w:rPr>
                <w:noProof/>
                <w:webHidden/>
              </w:rPr>
              <w:t>72</w:t>
            </w:r>
            <w:r w:rsidR="00285F52">
              <w:rPr>
                <w:noProof/>
                <w:webHidden/>
              </w:rPr>
              <w:fldChar w:fldCharType="end"/>
            </w:r>
          </w:hyperlink>
        </w:p>
        <w:p w14:paraId="48BC469C" w14:textId="5C4788AC"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95" w:history="1">
            <w:r w:rsidR="00285F52" w:rsidRPr="00FB3622">
              <w:rPr>
                <w:rStyle w:val="Hyperlink"/>
                <w:rFonts w:ascii="Arial" w:hAnsi="Arial" w:cs="Arial"/>
                <w:noProof/>
              </w:rPr>
              <w:t>5.1</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Research Objectives: Summary of Findings and Conclusions</w:t>
            </w:r>
            <w:r w:rsidR="00285F52">
              <w:rPr>
                <w:noProof/>
                <w:webHidden/>
              </w:rPr>
              <w:tab/>
            </w:r>
            <w:r w:rsidR="00285F52">
              <w:rPr>
                <w:noProof/>
                <w:webHidden/>
              </w:rPr>
              <w:fldChar w:fldCharType="begin"/>
            </w:r>
            <w:r w:rsidR="00285F52">
              <w:rPr>
                <w:noProof/>
                <w:webHidden/>
              </w:rPr>
              <w:instrText xml:space="preserve"> PAGEREF _Toc72189395 \h </w:instrText>
            </w:r>
            <w:r w:rsidR="00285F52">
              <w:rPr>
                <w:noProof/>
                <w:webHidden/>
              </w:rPr>
            </w:r>
            <w:r w:rsidR="00285F52">
              <w:rPr>
                <w:noProof/>
                <w:webHidden/>
              </w:rPr>
              <w:fldChar w:fldCharType="separate"/>
            </w:r>
            <w:r w:rsidR="00285F52">
              <w:rPr>
                <w:noProof/>
                <w:webHidden/>
              </w:rPr>
              <w:t>73</w:t>
            </w:r>
            <w:r w:rsidR="00285F52">
              <w:rPr>
                <w:noProof/>
                <w:webHidden/>
              </w:rPr>
              <w:fldChar w:fldCharType="end"/>
            </w:r>
          </w:hyperlink>
        </w:p>
        <w:p w14:paraId="79EDBC37" w14:textId="23042DF4"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96" w:history="1">
            <w:r w:rsidR="00285F52" w:rsidRPr="00FB3622">
              <w:rPr>
                <w:rStyle w:val="Hyperlink"/>
                <w:rFonts w:ascii="Arial" w:hAnsi="Arial" w:cs="Arial"/>
                <w:noProof/>
              </w:rPr>
              <w:t>5.2</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Recommendations</w:t>
            </w:r>
            <w:r w:rsidR="00285F52">
              <w:rPr>
                <w:noProof/>
                <w:webHidden/>
              </w:rPr>
              <w:tab/>
            </w:r>
            <w:r w:rsidR="00285F52">
              <w:rPr>
                <w:noProof/>
                <w:webHidden/>
              </w:rPr>
              <w:fldChar w:fldCharType="begin"/>
            </w:r>
            <w:r w:rsidR="00285F52">
              <w:rPr>
                <w:noProof/>
                <w:webHidden/>
              </w:rPr>
              <w:instrText xml:space="preserve"> PAGEREF _Toc72189396 \h </w:instrText>
            </w:r>
            <w:r w:rsidR="00285F52">
              <w:rPr>
                <w:noProof/>
                <w:webHidden/>
              </w:rPr>
            </w:r>
            <w:r w:rsidR="00285F52">
              <w:rPr>
                <w:noProof/>
                <w:webHidden/>
              </w:rPr>
              <w:fldChar w:fldCharType="separate"/>
            </w:r>
            <w:r w:rsidR="00285F52">
              <w:rPr>
                <w:noProof/>
                <w:webHidden/>
              </w:rPr>
              <w:t>75</w:t>
            </w:r>
            <w:r w:rsidR="00285F52">
              <w:rPr>
                <w:noProof/>
                <w:webHidden/>
              </w:rPr>
              <w:fldChar w:fldCharType="end"/>
            </w:r>
          </w:hyperlink>
        </w:p>
        <w:p w14:paraId="305A7940" w14:textId="700ED412"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97" w:history="1">
            <w:r w:rsidR="00285F52" w:rsidRPr="00FB3622">
              <w:rPr>
                <w:rStyle w:val="Hyperlink"/>
                <w:rFonts w:ascii="Arial" w:hAnsi="Arial" w:cs="Arial"/>
                <w:noProof/>
              </w:rPr>
              <w:t>5.3</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Self-Reflection</w:t>
            </w:r>
            <w:r w:rsidR="00285F52">
              <w:rPr>
                <w:noProof/>
                <w:webHidden/>
              </w:rPr>
              <w:tab/>
            </w:r>
            <w:r w:rsidR="00285F52">
              <w:rPr>
                <w:noProof/>
                <w:webHidden/>
              </w:rPr>
              <w:fldChar w:fldCharType="begin"/>
            </w:r>
            <w:r w:rsidR="00285F52">
              <w:rPr>
                <w:noProof/>
                <w:webHidden/>
              </w:rPr>
              <w:instrText xml:space="preserve"> PAGEREF _Toc72189397 \h </w:instrText>
            </w:r>
            <w:r w:rsidR="00285F52">
              <w:rPr>
                <w:noProof/>
                <w:webHidden/>
              </w:rPr>
            </w:r>
            <w:r w:rsidR="00285F52">
              <w:rPr>
                <w:noProof/>
                <w:webHidden/>
              </w:rPr>
              <w:fldChar w:fldCharType="separate"/>
            </w:r>
            <w:r w:rsidR="00285F52">
              <w:rPr>
                <w:noProof/>
                <w:webHidden/>
              </w:rPr>
              <w:t>78</w:t>
            </w:r>
            <w:r w:rsidR="00285F52">
              <w:rPr>
                <w:noProof/>
                <w:webHidden/>
              </w:rPr>
              <w:fldChar w:fldCharType="end"/>
            </w:r>
          </w:hyperlink>
        </w:p>
        <w:p w14:paraId="19EA5C0D" w14:textId="5957255A" w:rsidR="00285F52" w:rsidRDefault="00610B64">
          <w:pPr>
            <w:pStyle w:val="TOC2"/>
            <w:tabs>
              <w:tab w:val="left" w:pos="880"/>
              <w:tab w:val="right" w:leader="dot" w:pos="8732"/>
            </w:tabs>
            <w:rPr>
              <w:rFonts w:asciiTheme="minorHAnsi" w:eastAsiaTheme="minorEastAsia" w:hAnsiTheme="minorHAnsi"/>
              <w:noProof/>
              <w:sz w:val="22"/>
              <w:lang w:eastAsia="en-GB"/>
            </w:rPr>
          </w:pPr>
          <w:hyperlink w:anchor="_Toc72189398" w:history="1">
            <w:r w:rsidR="00285F52" w:rsidRPr="00FB3622">
              <w:rPr>
                <w:rStyle w:val="Hyperlink"/>
                <w:rFonts w:ascii="Arial" w:hAnsi="Arial" w:cs="Arial"/>
                <w:noProof/>
              </w:rPr>
              <w:t>5.4</w:t>
            </w:r>
            <w:r w:rsidR="00285F52">
              <w:rPr>
                <w:rFonts w:asciiTheme="minorHAnsi" w:eastAsiaTheme="minorEastAsia" w:hAnsiTheme="minorHAnsi"/>
                <w:noProof/>
                <w:sz w:val="22"/>
                <w:lang w:eastAsia="en-GB"/>
              </w:rPr>
              <w:tab/>
            </w:r>
            <w:r w:rsidR="00285F52" w:rsidRPr="00FB3622">
              <w:rPr>
                <w:rStyle w:val="Hyperlink"/>
                <w:rFonts w:ascii="Arial" w:hAnsi="Arial" w:cs="Arial"/>
                <w:noProof/>
              </w:rPr>
              <w:t>Summary and Conclusions</w:t>
            </w:r>
            <w:r w:rsidR="00285F52">
              <w:rPr>
                <w:noProof/>
                <w:webHidden/>
              </w:rPr>
              <w:tab/>
            </w:r>
            <w:r w:rsidR="00285F52">
              <w:rPr>
                <w:noProof/>
                <w:webHidden/>
              </w:rPr>
              <w:fldChar w:fldCharType="begin"/>
            </w:r>
            <w:r w:rsidR="00285F52">
              <w:rPr>
                <w:noProof/>
                <w:webHidden/>
              </w:rPr>
              <w:instrText xml:space="preserve"> PAGEREF _Toc72189398 \h </w:instrText>
            </w:r>
            <w:r w:rsidR="00285F52">
              <w:rPr>
                <w:noProof/>
                <w:webHidden/>
              </w:rPr>
            </w:r>
            <w:r w:rsidR="00285F52">
              <w:rPr>
                <w:noProof/>
                <w:webHidden/>
              </w:rPr>
              <w:fldChar w:fldCharType="separate"/>
            </w:r>
            <w:r w:rsidR="00285F52">
              <w:rPr>
                <w:noProof/>
                <w:webHidden/>
              </w:rPr>
              <w:t>82</w:t>
            </w:r>
            <w:r w:rsidR="00285F52">
              <w:rPr>
                <w:noProof/>
                <w:webHidden/>
              </w:rPr>
              <w:fldChar w:fldCharType="end"/>
            </w:r>
          </w:hyperlink>
        </w:p>
        <w:p w14:paraId="4EDA235B" w14:textId="47BC3E5A" w:rsidR="00285F52" w:rsidRDefault="00610B64">
          <w:pPr>
            <w:pStyle w:val="TOC1"/>
            <w:rPr>
              <w:rFonts w:asciiTheme="minorHAnsi" w:eastAsiaTheme="minorEastAsia" w:hAnsiTheme="minorHAnsi"/>
              <w:b w:val="0"/>
              <w:noProof/>
              <w:sz w:val="22"/>
              <w:lang w:eastAsia="en-GB"/>
            </w:rPr>
          </w:pPr>
          <w:hyperlink w:anchor="_Toc72189399" w:history="1">
            <w:r w:rsidR="00285F52" w:rsidRPr="00FB3622">
              <w:rPr>
                <w:rStyle w:val="Hyperlink"/>
                <w:rFonts w:ascii="Arial" w:hAnsi="Arial" w:cs="Arial"/>
                <w:noProof/>
              </w:rPr>
              <w:t>Bibliography</w:t>
            </w:r>
            <w:r w:rsidR="00285F52">
              <w:rPr>
                <w:noProof/>
                <w:webHidden/>
              </w:rPr>
              <w:tab/>
            </w:r>
            <w:r w:rsidR="00285F52">
              <w:rPr>
                <w:noProof/>
                <w:webHidden/>
              </w:rPr>
              <w:fldChar w:fldCharType="begin"/>
            </w:r>
            <w:r w:rsidR="00285F52">
              <w:rPr>
                <w:noProof/>
                <w:webHidden/>
              </w:rPr>
              <w:instrText xml:space="preserve"> PAGEREF _Toc72189399 \h </w:instrText>
            </w:r>
            <w:r w:rsidR="00285F52">
              <w:rPr>
                <w:noProof/>
                <w:webHidden/>
              </w:rPr>
            </w:r>
            <w:r w:rsidR="00285F52">
              <w:rPr>
                <w:noProof/>
                <w:webHidden/>
              </w:rPr>
              <w:fldChar w:fldCharType="separate"/>
            </w:r>
            <w:r w:rsidR="00285F52">
              <w:rPr>
                <w:noProof/>
                <w:webHidden/>
              </w:rPr>
              <w:t>83</w:t>
            </w:r>
            <w:r w:rsidR="00285F52">
              <w:rPr>
                <w:noProof/>
                <w:webHidden/>
              </w:rPr>
              <w:fldChar w:fldCharType="end"/>
            </w:r>
          </w:hyperlink>
        </w:p>
        <w:p w14:paraId="218B4296" w14:textId="34D6E6FB" w:rsidR="00285F52" w:rsidRDefault="00610B64">
          <w:pPr>
            <w:pStyle w:val="TOC1"/>
            <w:tabs>
              <w:tab w:val="left" w:pos="1760"/>
            </w:tabs>
            <w:rPr>
              <w:rFonts w:asciiTheme="minorHAnsi" w:eastAsiaTheme="minorEastAsia" w:hAnsiTheme="minorHAnsi"/>
              <w:b w:val="0"/>
              <w:noProof/>
              <w:sz w:val="22"/>
              <w:lang w:eastAsia="en-GB"/>
            </w:rPr>
          </w:pPr>
          <w:hyperlink w:anchor="_Toc72189400" w:history="1">
            <w:r w:rsidR="00285F52" w:rsidRPr="00FB3622">
              <w:rPr>
                <w:rStyle w:val="Hyperlink"/>
                <w:rFonts w:ascii="Arial" w:hAnsi="Arial" w:cs="Arial"/>
                <w:noProof/>
              </w:rPr>
              <w:t>Appendix A.</w:t>
            </w:r>
            <w:r w:rsidR="00285F52">
              <w:rPr>
                <w:rFonts w:asciiTheme="minorHAnsi" w:eastAsiaTheme="minorEastAsia" w:hAnsiTheme="minorHAnsi"/>
                <w:b w:val="0"/>
                <w:noProof/>
                <w:sz w:val="22"/>
                <w:lang w:eastAsia="en-GB"/>
              </w:rPr>
              <w:tab/>
            </w:r>
            <w:r w:rsidR="00285F52" w:rsidRPr="00FB3622">
              <w:rPr>
                <w:rStyle w:val="Hyperlink"/>
                <w:rFonts w:ascii="Arial" w:hAnsi="Arial" w:cs="Arial"/>
                <w:noProof/>
              </w:rPr>
              <w:t>Figures and diagrams</w:t>
            </w:r>
            <w:r w:rsidR="00285F52">
              <w:rPr>
                <w:noProof/>
                <w:webHidden/>
              </w:rPr>
              <w:tab/>
            </w:r>
            <w:r w:rsidR="00285F52">
              <w:rPr>
                <w:noProof/>
                <w:webHidden/>
              </w:rPr>
              <w:fldChar w:fldCharType="begin"/>
            </w:r>
            <w:r w:rsidR="00285F52">
              <w:rPr>
                <w:noProof/>
                <w:webHidden/>
              </w:rPr>
              <w:instrText xml:space="preserve"> PAGEREF _Toc72189400 \h </w:instrText>
            </w:r>
            <w:r w:rsidR="00285F52">
              <w:rPr>
                <w:noProof/>
                <w:webHidden/>
              </w:rPr>
            </w:r>
            <w:r w:rsidR="00285F52">
              <w:rPr>
                <w:noProof/>
                <w:webHidden/>
              </w:rPr>
              <w:fldChar w:fldCharType="separate"/>
            </w:r>
            <w:r w:rsidR="00285F52">
              <w:rPr>
                <w:noProof/>
                <w:webHidden/>
              </w:rPr>
              <w:t>104</w:t>
            </w:r>
            <w:r w:rsidR="00285F52">
              <w:rPr>
                <w:noProof/>
                <w:webHidden/>
              </w:rPr>
              <w:fldChar w:fldCharType="end"/>
            </w:r>
          </w:hyperlink>
        </w:p>
        <w:p w14:paraId="3CDB430D" w14:textId="768636E0" w:rsidR="00012844" w:rsidRPr="00312389" w:rsidRDefault="00571D0C" w:rsidP="00D40EBB">
          <w:pPr>
            <w:spacing w:line="480" w:lineRule="auto"/>
            <w:rPr>
              <w:rFonts w:ascii="Arial" w:hAnsi="Arial" w:cs="Arial"/>
            </w:rPr>
          </w:pPr>
          <w:r w:rsidRPr="00312389">
            <w:rPr>
              <w:rFonts w:ascii="Arial" w:hAnsi="Arial" w:cs="Arial"/>
            </w:rPr>
            <w:fldChar w:fldCharType="end"/>
          </w:r>
          <w:r w:rsidR="008E2535">
            <w:rPr>
              <w:rFonts w:ascii="Arial" w:hAnsi="Arial" w:cs="Arial"/>
              <w:b/>
              <w:bCs/>
            </w:rPr>
            <w:t xml:space="preserve">Abbreviations </w:t>
          </w:r>
          <w:r w:rsidR="00292D26">
            <w:rPr>
              <w:rFonts w:ascii="Arial" w:hAnsi="Arial" w:cs="Arial"/>
              <w:b/>
              <w:bCs/>
            </w:rPr>
            <w:t xml:space="preserve">      </w:t>
          </w:r>
          <w:r w:rsidR="00FB046A">
            <w:rPr>
              <w:rFonts w:ascii="Arial" w:hAnsi="Arial" w:cs="Arial"/>
              <w:b/>
              <w:bCs/>
            </w:rPr>
            <w:t>………………………………………………………………</w:t>
          </w:r>
          <w:r w:rsidR="00B939C6">
            <w:rPr>
              <w:rFonts w:ascii="Arial" w:hAnsi="Arial" w:cs="Arial"/>
              <w:b/>
              <w:bCs/>
            </w:rPr>
            <w:t>……</w:t>
          </w:r>
          <w:r w:rsidR="00FB046A" w:rsidRPr="00B939C6">
            <w:rPr>
              <w:rFonts w:ascii="Arial" w:hAnsi="Arial" w:cs="Arial"/>
            </w:rPr>
            <w:t>107</w:t>
          </w:r>
        </w:p>
      </w:sdtContent>
    </w:sdt>
    <w:p w14:paraId="42A83026" w14:textId="405D8E30" w:rsidR="002E234C" w:rsidRPr="00312389" w:rsidRDefault="002E234C" w:rsidP="00D40EBB">
      <w:pPr>
        <w:pStyle w:val="Heading1"/>
        <w:spacing w:line="480" w:lineRule="auto"/>
        <w:rPr>
          <w:rFonts w:ascii="Arial" w:hAnsi="Arial" w:cs="Arial"/>
        </w:rPr>
      </w:pPr>
      <w:bookmarkStart w:id="1" w:name="_Toc72189367"/>
      <w:r w:rsidRPr="00312389">
        <w:rPr>
          <w:rFonts w:ascii="Arial" w:hAnsi="Arial" w:cs="Arial"/>
        </w:rPr>
        <w:lastRenderedPageBreak/>
        <w:t>Introduction</w:t>
      </w:r>
      <w:bookmarkEnd w:id="1"/>
    </w:p>
    <w:p w14:paraId="3E631BF4" w14:textId="47B2BCE5" w:rsidR="00117707" w:rsidRPr="00312389" w:rsidRDefault="00117707" w:rsidP="00F31D3F">
      <w:pPr>
        <w:spacing w:line="480" w:lineRule="auto"/>
        <w:ind w:firstLine="432"/>
        <w:jc w:val="both"/>
        <w:rPr>
          <w:rFonts w:ascii="Arial" w:hAnsi="Arial" w:cs="Arial"/>
          <w:b/>
          <w:szCs w:val="24"/>
        </w:rPr>
      </w:pPr>
      <w:r w:rsidRPr="00312389">
        <w:rPr>
          <w:rFonts w:ascii="Arial" w:hAnsi="Arial" w:cs="Arial"/>
          <w:bCs/>
          <w:szCs w:val="24"/>
        </w:rPr>
        <w:t xml:space="preserve">This chapter provides the reader with the foundation information on the correlation between Information Technology Governance (ITG) and Multi-stakeholder Security Governance Scaling (MSGS). ITG AND MSGS impact on business value; ITG entails the means and capability for decision-making while MSGS accentuates the cybersecurity governance to identify stakeholders. </w:t>
      </w:r>
      <w:bookmarkStart w:id="2" w:name="_Hlk27127749"/>
      <w:r w:rsidRPr="00312389">
        <w:rPr>
          <w:rFonts w:ascii="Arial" w:hAnsi="Arial" w:cs="Arial"/>
          <w:bCs/>
          <w:szCs w:val="24"/>
        </w:rPr>
        <w:t>The chapter will illustrate some perplexity to the implementation of cyber policy in the small and medium-sized enterprises (SMEs) in the UK Aviation environment. It will accentuate the need for decision-makers to understand the strength such exploration will provide in the facilitation of cyber strategy and the grand strategy for structures, processes and relational mechanisms.</w:t>
      </w:r>
      <w:r w:rsidR="00223BE4">
        <w:rPr>
          <w:rFonts w:ascii="Arial" w:hAnsi="Arial" w:cs="Arial"/>
          <w:bCs/>
          <w:szCs w:val="24"/>
        </w:rPr>
        <w:t xml:space="preserve"> </w:t>
      </w:r>
      <w:r w:rsidRPr="00312389">
        <w:rPr>
          <w:rFonts w:ascii="Arial" w:hAnsi="Arial" w:cs="Arial"/>
          <w:bCs/>
          <w:szCs w:val="24"/>
        </w:rPr>
        <w:t>The focus of this research is discussed and justified, and the overall research aim and individual research objectives identified.</w:t>
      </w:r>
    </w:p>
    <w:p w14:paraId="04BF4692" w14:textId="130CC77F" w:rsidR="002E234C" w:rsidRDefault="002E234C" w:rsidP="00D40EBB">
      <w:pPr>
        <w:pStyle w:val="Heading2"/>
        <w:spacing w:line="480" w:lineRule="auto"/>
        <w:rPr>
          <w:rFonts w:ascii="Arial" w:hAnsi="Arial" w:cs="Arial"/>
        </w:rPr>
      </w:pPr>
      <w:bookmarkStart w:id="3" w:name="_Toc72189368"/>
      <w:bookmarkEnd w:id="2"/>
      <w:r w:rsidRPr="00312389">
        <w:rPr>
          <w:rFonts w:ascii="Arial" w:hAnsi="Arial" w:cs="Arial"/>
        </w:rPr>
        <w:t>Aims</w:t>
      </w:r>
      <w:bookmarkEnd w:id="3"/>
    </w:p>
    <w:p w14:paraId="21F9993F" w14:textId="51F5525F" w:rsidR="003639EF" w:rsidRPr="00223BE4" w:rsidRDefault="007D4B54" w:rsidP="00F31D3F">
      <w:pPr>
        <w:spacing w:line="480" w:lineRule="auto"/>
        <w:ind w:firstLine="576"/>
        <w:jc w:val="both"/>
        <w:rPr>
          <w:rFonts w:ascii="Arial" w:hAnsi="Arial" w:cs="Arial"/>
        </w:rPr>
      </w:pPr>
      <w:r w:rsidRPr="00223BE4">
        <w:rPr>
          <w:rFonts w:ascii="Arial" w:hAnsi="Arial" w:cs="Arial"/>
        </w:rPr>
        <w:t xml:space="preserve">The Study aims </w:t>
      </w:r>
      <w:r w:rsidR="00B9742B" w:rsidRPr="00223BE4">
        <w:rPr>
          <w:rFonts w:ascii="Arial" w:hAnsi="Arial" w:cs="Arial"/>
        </w:rPr>
        <w:t xml:space="preserve">to highlight developing issues and explore the relationship between </w:t>
      </w:r>
      <w:r w:rsidR="00093BE2" w:rsidRPr="00223BE4">
        <w:rPr>
          <w:rFonts w:ascii="Arial" w:hAnsi="Arial" w:cs="Arial"/>
        </w:rPr>
        <w:t>ITG and MSGS for decision-makers within the UK SME Aviation digital world.</w:t>
      </w:r>
    </w:p>
    <w:p w14:paraId="45759D40" w14:textId="72028D49" w:rsidR="00D82BAC" w:rsidRPr="00312389" w:rsidRDefault="00D82BAC" w:rsidP="00D40EBB">
      <w:pPr>
        <w:pStyle w:val="Heading2"/>
        <w:spacing w:line="480" w:lineRule="auto"/>
        <w:rPr>
          <w:rFonts w:ascii="Arial" w:hAnsi="Arial" w:cs="Arial"/>
        </w:rPr>
      </w:pPr>
      <w:bookmarkStart w:id="4" w:name="_Toc72189369"/>
      <w:r w:rsidRPr="00312389">
        <w:rPr>
          <w:rFonts w:ascii="Arial" w:hAnsi="Arial" w:cs="Arial"/>
        </w:rPr>
        <w:t>Background</w:t>
      </w:r>
      <w:bookmarkEnd w:id="4"/>
    </w:p>
    <w:p w14:paraId="0B6DE7FE" w14:textId="36FAE664" w:rsidR="00F31D3F" w:rsidRDefault="00F31D3F" w:rsidP="00D40EBB">
      <w:pPr>
        <w:pStyle w:val="HTMLPreformatted"/>
        <w:spacing w:line="480" w:lineRule="auto"/>
        <w:jc w:val="both"/>
        <w:rPr>
          <w:rFonts w:ascii="Arial" w:hAnsi="Arial" w:cs="Arial"/>
          <w:sz w:val="24"/>
          <w:szCs w:val="24"/>
        </w:rPr>
      </w:pPr>
      <w:r>
        <w:rPr>
          <w:rFonts w:ascii="Arial" w:hAnsi="Arial" w:cs="Arial"/>
          <w:sz w:val="24"/>
          <w:szCs w:val="24"/>
        </w:rPr>
        <w:tab/>
      </w:r>
      <w:r w:rsidR="00117707" w:rsidRPr="00312389">
        <w:rPr>
          <w:rFonts w:ascii="Arial" w:hAnsi="Arial" w:cs="Arial"/>
          <w:sz w:val="24"/>
          <w:szCs w:val="24"/>
        </w:rPr>
        <w:t>Mainly, Information technology (IT) plays a vital role in organisational innovation adoption (</w:t>
      </w:r>
      <w:proofErr w:type="spellStart"/>
      <w:r w:rsidR="00117707" w:rsidRPr="00312389">
        <w:rPr>
          <w:rFonts w:ascii="Arial" w:hAnsi="Arial" w:cs="Arial"/>
          <w:sz w:val="24"/>
          <w:szCs w:val="24"/>
        </w:rPr>
        <w:t>Vejseli</w:t>
      </w:r>
      <w:proofErr w:type="spellEnd"/>
      <w:r w:rsidR="00117707" w:rsidRPr="00312389">
        <w:rPr>
          <w:rFonts w:ascii="Arial" w:hAnsi="Arial" w:cs="Arial"/>
          <w:sz w:val="24"/>
          <w:szCs w:val="24"/>
        </w:rPr>
        <w:t xml:space="preserve"> </w:t>
      </w:r>
      <w:r w:rsidR="00B50415" w:rsidRPr="00B50415">
        <w:rPr>
          <w:rFonts w:ascii="Arial" w:hAnsi="Arial" w:cs="Arial"/>
          <w:i/>
          <w:iCs/>
          <w:sz w:val="24"/>
          <w:szCs w:val="24"/>
        </w:rPr>
        <w:t>et al</w:t>
      </w:r>
      <w:r w:rsidR="00117707" w:rsidRPr="00312389">
        <w:rPr>
          <w:rFonts w:ascii="Arial" w:hAnsi="Arial" w:cs="Arial"/>
          <w:sz w:val="24"/>
          <w:szCs w:val="24"/>
        </w:rPr>
        <w:t xml:space="preserve">., 2019). As such, ITG is dominant in add-on IT to permit innovation. However, the conventional idea of ITG to control the plan and execution of IT methodology is not entirely outfitted to manage the present changes happening in the digital age.  For instance, </w:t>
      </w:r>
      <w:proofErr w:type="spellStart"/>
      <w:r w:rsidR="00117707" w:rsidRPr="00312389">
        <w:rPr>
          <w:rFonts w:ascii="Arial" w:hAnsi="Arial" w:cs="Arial"/>
          <w:sz w:val="24"/>
          <w:szCs w:val="24"/>
        </w:rPr>
        <w:t>Saeidi</w:t>
      </w:r>
      <w:proofErr w:type="spellEnd"/>
      <w:r w:rsidR="00117707" w:rsidRPr="00312389">
        <w:rPr>
          <w:rFonts w:ascii="Arial" w:hAnsi="Arial" w:cs="Arial"/>
          <w:sz w:val="24"/>
          <w:szCs w:val="24"/>
        </w:rPr>
        <w:t xml:space="preserve"> </w:t>
      </w:r>
      <w:r w:rsidR="00B50415" w:rsidRPr="00B50415">
        <w:rPr>
          <w:rFonts w:ascii="Arial" w:hAnsi="Arial" w:cs="Arial"/>
          <w:i/>
          <w:iCs/>
          <w:sz w:val="24"/>
          <w:szCs w:val="24"/>
        </w:rPr>
        <w:t>et al</w:t>
      </w:r>
      <w:r w:rsidR="00117707" w:rsidRPr="00312389">
        <w:rPr>
          <w:rFonts w:ascii="Arial" w:hAnsi="Arial" w:cs="Arial"/>
          <w:sz w:val="24"/>
          <w:szCs w:val="24"/>
        </w:rPr>
        <w:t xml:space="preserve">., (2019) argue that due to </w:t>
      </w:r>
      <w:r w:rsidR="00117707" w:rsidRPr="00312389">
        <w:rPr>
          <w:rFonts w:ascii="Arial" w:hAnsi="Arial" w:cs="Arial"/>
          <w:sz w:val="24"/>
          <w:szCs w:val="24"/>
        </w:rPr>
        <w:lastRenderedPageBreak/>
        <w:t>the impact of enterprise risk management on competitive advantage, there should be a paradigm shift in the approach to the implementation of ITG. Notably, ITG implementation in SMEs remains centralised for decades in a diverse industrial sector.</w:t>
      </w:r>
      <w:r w:rsidR="004902B7" w:rsidRPr="00312389">
        <w:rPr>
          <w:rFonts w:ascii="Arial" w:hAnsi="Arial" w:cs="Arial"/>
          <w:sz w:val="24"/>
          <w:szCs w:val="24"/>
        </w:rPr>
        <w:t xml:space="preserve"> </w:t>
      </w:r>
    </w:p>
    <w:p w14:paraId="73EAE6D4" w14:textId="13C9B970" w:rsidR="00F31D3F" w:rsidRDefault="00F31D3F" w:rsidP="00D40EBB">
      <w:pPr>
        <w:pStyle w:val="HTMLPreformatted"/>
        <w:spacing w:line="480" w:lineRule="auto"/>
        <w:jc w:val="both"/>
        <w:rPr>
          <w:rFonts w:ascii="Arial" w:hAnsi="Arial" w:cs="Arial"/>
          <w:sz w:val="24"/>
          <w:szCs w:val="24"/>
        </w:rPr>
      </w:pPr>
      <w:r>
        <w:rPr>
          <w:rFonts w:ascii="Arial" w:hAnsi="Arial" w:cs="Arial"/>
          <w:sz w:val="24"/>
          <w:szCs w:val="24"/>
        </w:rPr>
        <w:tab/>
      </w:r>
      <w:proofErr w:type="spellStart"/>
      <w:r w:rsidR="00117707" w:rsidRPr="00312389">
        <w:rPr>
          <w:rFonts w:ascii="Arial" w:hAnsi="Arial" w:cs="Arial"/>
          <w:sz w:val="24"/>
          <w:szCs w:val="24"/>
        </w:rPr>
        <w:t>Zarvić</w:t>
      </w:r>
      <w:proofErr w:type="spellEnd"/>
      <w:r w:rsidR="00117707" w:rsidRPr="00312389">
        <w:rPr>
          <w:rFonts w:ascii="Arial" w:hAnsi="Arial" w:cs="Arial"/>
          <w:sz w:val="24"/>
          <w:szCs w:val="24"/>
        </w:rPr>
        <w:t xml:space="preserve"> </w:t>
      </w:r>
      <w:r w:rsidR="00B50415" w:rsidRPr="00B50415">
        <w:rPr>
          <w:rFonts w:ascii="Arial" w:hAnsi="Arial" w:cs="Arial"/>
          <w:i/>
          <w:iCs/>
          <w:sz w:val="24"/>
          <w:szCs w:val="24"/>
        </w:rPr>
        <w:t>et al</w:t>
      </w:r>
      <w:r w:rsidR="00117707" w:rsidRPr="00312389">
        <w:rPr>
          <w:rFonts w:ascii="Arial" w:hAnsi="Arial" w:cs="Arial"/>
          <w:sz w:val="24"/>
          <w:szCs w:val="24"/>
        </w:rPr>
        <w:t>. (2012) argued that the application of ITG in SMEs should tie with strategic frameworks and its esteem conveyance to the business. Nonetheless, it is a view that could have direct impacts on decision-making (</w:t>
      </w:r>
      <w:proofErr w:type="spellStart"/>
      <w:r w:rsidR="00117707" w:rsidRPr="00312389">
        <w:rPr>
          <w:rFonts w:ascii="Arial" w:hAnsi="Arial" w:cs="Arial"/>
          <w:sz w:val="24"/>
          <w:szCs w:val="24"/>
        </w:rPr>
        <w:t>Devos</w:t>
      </w:r>
      <w:proofErr w:type="spellEnd"/>
      <w:r w:rsidR="00117707" w:rsidRPr="00312389">
        <w:rPr>
          <w:rFonts w:ascii="Arial" w:hAnsi="Arial" w:cs="Arial"/>
          <w:sz w:val="24"/>
          <w:szCs w:val="24"/>
        </w:rPr>
        <w:t xml:space="preserve">, Van </w:t>
      </w:r>
      <w:proofErr w:type="spellStart"/>
      <w:r w:rsidR="00117707" w:rsidRPr="00312389">
        <w:rPr>
          <w:rFonts w:ascii="Arial" w:hAnsi="Arial" w:cs="Arial"/>
          <w:sz w:val="24"/>
          <w:szCs w:val="24"/>
        </w:rPr>
        <w:t>Landeghem</w:t>
      </w:r>
      <w:proofErr w:type="spellEnd"/>
      <w:r w:rsidR="00117707" w:rsidRPr="00312389">
        <w:rPr>
          <w:rFonts w:ascii="Arial" w:hAnsi="Arial" w:cs="Arial"/>
          <w:sz w:val="24"/>
          <w:szCs w:val="24"/>
        </w:rPr>
        <w:t xml:space="preserve"> and </w:t>
      </w:r>
      <w:proofErr w:type="spellStart"/>
      <w:r w:rsidR="00117707" w:rsidRPr="00312389">
        <w:rPr>
          <w:rFonts w:ascii="Arial" w:hAnsi="Arial" w:cs="Arial"/>
          <w:sz w:val="24"/>
          <w:szCs w:val="24"/>
        </w:rPr>
        <w:t>Deschoolmeester</w:t>
      </w:r>
      <w:proofErr w:type="spellEnd"/>
      <w:r w:rsidR="00117707" w:rsidRPr="00312389">
        <w:rPr>
          <w:rFonts w:ascii="Arial" w:hAnsi="Arial" w:cs="Arial"/>
          <w:sz w:val="24"/>
          <w:szCs w:val="24"/>
        </w:rPr>
        <w:t xml:space="preserve">, 2012; </w:t>
      </w:r>
      <w:proofErr w:type="spellStart"/>
      <w:r w:rsidR="00117707" w:rsidRPr="00312389">
        <w:rPr>
          <w:rFonts w:ascii="Arial" w:hAnsi="Arial" w:cs="Arial"/>
          <w:sz w:val="24"/>
          <w:szCs w:val="24"/>
        </w:rPr>
        <w:t>Nfuka</w:t>
      </w:r>
      <w:proofErr w:type="spellEnd"/>
      <w:r w:rsidR="00117707" w:rsidRPr="00312389">
        <w:rPr>
          <w:rFonts w:ascii="Arial" w:hAnsi="Arial" w:cs="Arial"/>
          <w:sz w:val="24"/>
          <w:szCs w:val="24"/>
        </w:rPr>
        <w:t xml:space="preserve"> and </w:t>
      </w:r>
      <w:proofErr w:type="spellStart"/>
      <w:r w:rsidR="00117707" w:rsidRPr="00312389">
        <w:rPr>
          <w:rFonts w:ascii="Arial" w:hAnsi="Arial" w:cs="Arial"/>
          <w:sz w:val="24"/>
          <w:szCs w:val="24"/>
        </w:rPr>
        <w:t>Rusu</w:t>
      </w:r>
      <w:proofErr w:type="spellEnd"/>
      <w:r w:rsidR="00117707" w:rsidRPr="00312389">
        <w:rPr>
          <w:rFonts w:ascii="Arial" w:hAnsi="Arial" w:cs="Arial"/>
          <w:sz w:val="24"/>
          <w:szCs w:val="24"/>
        </w:rPr>
        <w:t>, 2011; Wilkin, 2012). Furthermore, such an approach could play a paramount role in analysing and identifying constraints in an active uptake in SMEs (McCarthy, 2009).</w:t>
      </w:r>
      <w:r w:rsidR="00057C87">
        <w:rPr>
          <w:rFonts w:ascii="Arial" w:hAnsi="Arial" w:cs="Arial"/>
          <w:sz w:val="24"/>
          <w:szCs w:val="24"/>
        </w:rPr>
        <w:t xml:space="preserve"> </w:t>
      </w:r>
      <w:r w:rsidR="00117707" w:rsidRPr="00312389">
        <w:rPr>
          <w:rFonts w:ascii="Arial" w:hAnsi="Arial" w:cs="Arial"/>
          <w:sz w:val="24"/>
          <w:szCs w:val="24"/>
        </w:rPr>
        <w:t>The need to successfully implement ITG to improve some business outcomes in the SMEs estimation of innovation could make its application a significant issue (</w:t>
      </w:r>
      <w:proofErr w:type="spellStart"/>
      <w:r w:rsidR="00117707" w:rsidRPr="00312389">
        <w:rPr>
          <w:rFonts w:ascii="Arial" w:hAnsi="Arial" w:cs="Arial"/>
          <w:sz w:val="24"/>
          <w:szCs w:val="24"/>
        </w:rPr>
        <w:t>Sambamurthy</w:t>
      </w:r>
      <w:proofErr w:type="spellEnd"/>
      <w:r w:rsidR="00117707" w:rsidRPr="00312389">
        <w:rPr>
          <w:rFonts w:ascii="Arial" w:hAnsi="Arial" w:cs="Arial"/>
          <w:sz w:val="24"/>
          <w:szCs w:val="24"/>
        </w:rPr>
        <w:t xml:space="preserve"> and </w:t>
      </w:r>
      <w:proofErr w:type="spellStart"/>
      <w:r w:rsidR="00117707" w:rsidRPr="00312389">
        <w:rPr>
          <w:rFonts w:ascii="Arial" w:hAnsi="Arial" w:cs="Arial"/>
          <w:sz w:val="24"/>
          <w:szCs w:val="24"/>
        </w:rPr>
        <w:t>Zmud</w:t>
      </w:r>
      <w:proofErr w:type="spellEnd"/>
      <w:r w:rsidR="00117707" w:rsidRPr="00312389">
        <w:rPr>
          <w:rFonts w:ascii="Arial" w:hAnsi="Arial" w:cs="Arial"/>
          <w:sz w:val="24"/>
          <w:szCs w:val="24"/>
        </w:rPr>
        <w:t xml:space="preserve">, 1999; Weill and Ross, 2004). In the digital age, the most significant inclining difficulties confronting SMEs are less identifiable with technology than to governance (McCarthy, 2009; </w:t>
      </w:r>
      <w:proofErr w:type="spellStart"/>
      <w:r w:rsidR="00117707" w:rsidRPr="00312389">
        <w:rPr>
          <w:rFonts w:ascii="Arial" w:hAnsi="Arial" w:cs="Arial"/>
          <w:sz w:val="24"/>
          <w:szCs w:val="24"/>
        </w:rPr>
        <w:t>Nfuka</w:t>
      </w:r>
      <w:proofErr w:type="spellEnd"/>
      <w:r w:rsidR="00117707" w:rsidRPr="00312389">
        <w:rPr>
          <w:rFonts w:ascii="Arial" w:hAnsi="Arial" w:cs="Arial"/>
          <w:sz w:val="24"/>
          <w:szCs w:val="24"/>
        </w:rPr>
        <w:t xml:space="preserve"> and </w:t>
      </w:r>
      <w:proofErr w:type="spellStart"/>
      <w:r w:rsidR="00117707" w:rsidRPr="00312389">
        <w:rPr>
          <w:rFonts w:ascii="Arial" w:hAnsi="Arial" w:cs="Arial"/>
          <w:sz w:val="24"/>
          <w:szCs w:val="24"/>
        </w:rPr>
        <w:t>Rusu</w:t>
      </w:r>
      <w:proofErr w:type="spellEnd"/>
      <w:r w:rsidR="00117707" w:rsidRPr="00312389">
        <w:rPr>
          <w:rFonts w:ascii="Arial" w:hAnsi="Arial" w:cs="Arial"/>
          <w:sz w:val="24"/>
          <w:szCs w:val="24"/>
        </w:rPr>
        <w:t>, 2011). However, SMEs could leverage limited resources to support the adoption of the MSGS.</w:t>
      </w:r>
    </w:p>
    <w:p w14:paraId="43B9218D" w14:textId="77777777" w:rsidR="006237B7" w:rsidRDefault="006237B7" w:rsidP="00D40EBB">
      <w:pPr>
        <w:pStyle w:val="HTMLPreformatted"/>
        <w:spacing w:line="480" w:lineRule="auto"/>
        <w:jc w:val="both"/>
        <w:rPr>
          <w:rFonts w:ascii="Arial" w:hAnsi="Arial" w:cs="Arial"/>
          <w:color w:val="222222"/>
          <w:sz w:val="24"/>
          <w:szCs w:val="24"/>
          <w:shd w:val="clear" w:color="auto" w:fill="FFFFFF"/>
        </w:rPr>
      </w:pPr>
      <w:r>
        <w:rPr>
          <w:rFonts w:ascii="Arial" w:hAnsi="Arial" w:cs="Arial"/>
          <w:sz w:val="24"/>
          <w:szCs w:val="24"/>
        </w:rPr>
        <w:tab/>
      </w:r>
      <w:r w:rsidR="00117707" w:rsidRPr="00312389">
        <w:rPr>
          <w:rFonts w:ascii="Arial" w:hAnsi="Arial" w:cs="Arial"/>
          <w:color w:val="222222"/>
          <w:sz w:val="24"/>
          <w:szCs w:val="24"/>
          <w:shd w:val="clear" w:color="auto" w:fill="FFFFFF"/>
        </w:rPr>
        <w:t xml:space="preserve">In the SME context of ITG, </w:t>
      </w:r>
      <w:proofErr w:type="spellStart"/>
      <w:r w:rsidR="00117707" w:rsidRPr="00312389">
        <w:rPr>
          <w:rFonts w:ascii="Arial" w:hAnsi="Arial" w:cs="Arial"/>
          <w:color w:val="222222"/>
          <w:sz w:val="24"/>
          <w:szCs w:val="24"/>
          <w:shd w:val="clear" w:color="auto" w:fill="FFFFFF"/>
        </w:rPr>
        <w:t>Banham</w:t>
      </w:r>
      <w:proofErr w:type="spellEnd"/>
      <w:r w:rsidR="00117707" w:rsidRPr="00312389">
        <w:rPr>
          <w:rFonts w:ascii="Arial" w:hAnsi="Arial" w:cs="Arial"/>
          <w:color w:val="222222"/>
          <w:sz w:val="24"/>
          <w:szCs w:val="24"/>
          <w:shd w:val="clear" w:color="auto" w:fill="FFFFFF"/>
        </w:rPr>
        <w:t xml:space="preserve"> and He (2010) argues that the application of the converging definitions and expanding expectations could result in some specific challenges.  ITG implementation could suffice the need for a change of approach to help decision-makers in the communication of their strategic plan. It could mean that procedures and strategies to align business technique</w:t>
      </w:r>
      <w:r w:rsidR="00117707" w:rsidRPr="00312389">
        <w:rPr>
          <w:rFonts w:ascii="Arial" w:hAnsi="Arial" w:cs="Arial"/>
          <w:sz w:val="24"/>
          <w:szCs w:val="24"/>
        </w:rPr>
        <w:t>s</w:t>
      </w:r>
      <w:r w:rsidR="00117707" w:rsidRPr="00312389">
        <w:rPr>
          <w:rFonts w:ascii="Arial" w:hAnsi="Arial" w:cs="Arial"/>
          <w:color w:val="222222"/>
          <w:sz w:val="24"/>
          <w:szCs w:val="24"/>
          <w:shd w:val="clear" w:color="auto" w:fill="FFFFFF"/>
        </w:rPr>
        <w:t xml:space="preserve"> and objectives in meeting outcomes must change to sustain an existing organisation culture. For example, decision-makers need to know where personal information of clients reside in following the prevailing regulations.</w:t>
      </w:r>
    </w:p>
    <w:p w14:paraId="4A64FD7E" w14:textId="77777777" w:rsidR="006237B7" w:rsidRDefault="006237B7" w:rsidP="006237B7">
      <w:pPr>
        <w:pStyle w:val="HTMLPreformatted"/>
        <w:spacing w:line="480" w:lineRule="auto"/>
        <w:jc w:val="both"/>
        <w:rPr>
          <w:rFonts w:ascii="Arial" w:hAnsi="Arial" w:cs="Arial"/>
          <w:sz w:val="24"/>
          <w:szCs w:val="24"/>
        </w:rPr>
      </w:pPr>
      <w:r>
        <w:rPr>
          <w:rFonts w:ascii="Arial" w:hAnsi="Arial" w:cs="Arial"/>
          <w:color w:val="222222"/>
          <w:sz w:val="24"/>
          <w:szCs w:val="24"/>
          <w:shd w:val="clear" w:color="auto" w:fill="FFFFFF"/>
        </w:rPr>
        <w:lastRenderedPageBreak/>
        <w:tab/>
      </w:r>
      <w:r w:rsidR="00117707" w:rsidRPr="00BC2345">
        <w:rPr>
          <w:rFonts w:ascii="Arial" w:hAnsi="Arial" w:cs="Arial"/>
          <w:sz w:val="24"/>
          <w:szCs w:val="24"/>
        </w:rPr>
        <w:t xml:space="preserve">It might be a new challenge that centres on the platform that holds personal information; and whether the cybersecurity standards are implemented securely. It was noted that the GDPR (2016) reinforces the Article 8 (1) of the Charter of Fundamental Rights of the European Union and the Article 16(1) of the Treaty on the Functioning of the European Union that the protection of natural persons in relation to the processing of personal data is a fundamental right. </w:t>
      </w:r>
    </w:p>
    <w:p w14:paraId="0D9FF3FE" w14:textId="718E4583" w:rsidR="006237B7" w:rsidRDefault="006237B7" w:rsidP="006237B7">
      <w:pPr>
        <w:pStyle w:val="HTMLPreformatted"/>
        <w:spacing w:line="480" w:lineRule="auto"/>
        <w:jc w:val="both"/>
        <w:rPr>
          <w:rFonts w:ascii="Arial" w:hAnsi="Arial" w:cs="Arial"/>
          <w:sz w:val="24"/>
          <w:szCs w:val="24"/>
        </w:rPr>
      </w:pPr>
      <w:r>
        <w:rPr>
          <w:rFonts w:ascii="Arial" w:hAnsi="Arial" w:cs="Arial"/>
          <w:sz w:val="24"/>
          <w:szCs w:val="24"/>
        </w:rPr>
        <w:tab/>
      </w:r>
      <w:r w:rsidR="00117707" w:rsidRPr="006237B7">
        <w:rPr>
          <w:rFonts w:ascii="Arial" w:hAnsi="Arial" w:cs="Arial"/>
          <w:sz w:val="24"/>
          <w:szCs w:val="24"/>
        </w:rPr>
        <w:t xml:space="preserve">Bergeron </w:t>
      </w:r>
      <w:r w:rsidR="00B50415" w:rsidRPr="00B50415">
        <w:rPr>
          <w:rFonts w:ascii="Arial" w:hAnsi="Arial" w:cs="Arial"/>
          <w:i/>
          <w:iCs/>
          <w:sz w:val="24"/>
          <w:szCs w:val="24"/>
        </w:rPr>
        <w:t>et al</w:t>
      </w:r>
      <w:r w:rsidR="00117707" w:rsidRPr="006237B7">
        <w:rPr>
          <w:rFonts w:ascii="Arial" w:hAnsi="Arial" w:cs="Arial"/>
          <w:sz w:val="24"/>
          <w:szCs w:val="24"/>
        </w:rPr>
        <w:t>. (2015) accentuate the need to dedicate both scholars and practitioners’ skills, understanding to support the development and implementation of ITG frameworks suitable for the use of SMEs. Undoubtedly, most industrial policy related to ITG particularly mobilises and proposes theories and frameworks to explain and implement governance. However, most ITG functionalities and procedures are often criticised as not implementable in SMEs (</w:t>
      </w:r>
      <w:proofErr w:type="spellStart"/>
      <w:r w:rsidR="00117707" w:rsidRPr="006237B7">
        <w:rPr>
          <w:rFonts w:ascii="Arial" w:hAnsi="Arial" w:cs="Arial"/>
          <w:sz w:val="24"/>
          <w:szCs w:val="24"/>
        </w:rPr>
        <w:t>Banham</w:t>
      </w:r>
      <w:proofErr w:type="spellEnd"/>
      <w:r w:rsidR="00117707" w:rsidRPr="006237B7">
        <w:rPr>
          <w:rFonts w:ascii="Arial" w:hAnsi="Arial" w:cs="Arial"/>
          <w:sz w:val="24"/>
          <w:szCs w:val="24"/>
        </w:rPr>
        <w:t xml:space="preserve"> and He, 2010; Bergeron </w:t>
      </w:r>
      <w:r w:rsidR="00B50415" w:rsidRPr="00B50415">
        <w:rPr>
          <w:rFonts w:ascii="Arial" w:hAnsi="Arial" w:cs="Arial"/>
          <w:i/>
          <w:iCs/>
          <w:sz w:val="24"/>
          <w:szCs w:val="24"/>
        </w:rPr>
        <w:t>et al</w:t>
      </w:r>
      <w:r w:rsidR="00117707" w:rsidRPr="006237B7">
        <w:rPr>
          <w:rFonts w:ascii="Arial" w:hAnsi="Arial" w:cs="Arial"/>
          <w:sz w:val="24"/>
          <w:szCs w:val="24"/>
        </w:rPr>
        <w:t xml:space="preserve">., 2015).  </w:t>
      </w:r>
    </w:p>
    <w:p w14:paraId="5F70CA10" w14:textId="1869D268" w:rsidR="00DC01E5" w:rsidRDefault="006237B7" w:rsidP="00DC01E5">
      <w:pPr>
        <w:pStyle w:val="HTMLPreformatted"/>
        <w:spacing w:line="480" w:lineRule="auto"/>
        <w:jc w:val="both"/>
        <w:rPr>
          <w:rFonts w:ascii="Arial" w:hAnsi="Arial" w:cs="Arial"/>
          <w:sz w:val="24"/>
          <w:szCs w:val="24"/>
        </w:rPr>
      </w:pPr>
      <w:r>
        <w:rPr>
          <w:rFonts w:ascii="Arial" w:hAnsi="Arial" w:cs="Arial"/>
          <w:sz w:val="24"/>
          <w:szCs w:val="24"/>
        </w:rPr>
        <w:tab/>
      </w:r>
      <w:r w:rsidR="00D30D38" w:rsidRPr="006237B7">
        <w:rPr>
          <w:rFonts w:ascii="Arial" w:hAnsi="Arial" w:cs="Arial"/>
          <w:sz w:val="24"/>
          <w:szCs w:val="24"/>
        </w:rPr>
        <w:t>For instance, to achieve the six objectives in the UK Aviation Strategy 2017, ITG must be suitably inclusive. The strategy has six targets, which are to help the aviation industry work for its customers; guarantee a protected and secured approach to travel; build a global and connected Britain; encourage competitive markets; support growth while tackling environmental impacts; develop innovation, technology and skills. For the assertion of suitability, practitioners and scholars could recall the impact of theories and frameworks, and possibly propose alternatives that are cost effective and specifically implementable in SMEs (</w:t>
      </w:r>
      <w:proofErr w:type="spellStart"/>
      <w:r w:rsidR="00D30D38" w:rsidRPr="006237B7">
        <w:rPr>
          <w:rFonts w:ascii="Arial" w:hAnsi="Arial" w:cs="Arial"/>
          <w:sz w:val="24"/>
          <w:szCs w:val="24"/>
        </w:rPr>
        <w:t>Banham</w:t>
      </w:r>
      <w:proofErr w:type="spellEnd"/>
      <w:r w:rsidR="00D30D38" w:rsidRPr="006237B7">
        <w:rPr>
          <w:rFonts w:ascii="Arial" w:hAnsi="Arial" w:cs="Arial"/>
          <w:sz w:val="24"/>
          <w:szCs w:val="24"/>
        </w:rPr>
        <w:t xml:space="preserve"> and He, 2010; Bergeron </w:t>
      </w:r>
      <w:r w:rsidR="00B50415" w:rsidRPr="00B50415">
        <w:rPr>
          <w:rFonts w:ascii="Arial" w:hAnsi="Arial" w:cs="Arial"/>
          <w:i/>
          <w:iCs/>
          <w:sz w:val="24"/>
          <w:szCs w:val="24"/>
        </w:rPr>
        <w:t>et al</w:t>
      </w:r>
      <w:r w:rsidR="00D30D38" w:rsidRPr="006237B7">
        <w:rPr>
          <w:rFonts w:ascii="Arial" w:hAnsi="Arial" w:cs="Arial"/>
          <w:sz w:val="24"/>
          <w:szCs w:val="24"/>
        </w:rPr>
        <w:t xml:space="preserve">., 2015; Silva </w:t>
      </w:r>
      <w:r w:rsidR="00B50415" w:rsidRPr="00B50415">
        <w:rPr>
          <w:rFonts w:ascii="Arial" w:hAnsi="Arial" w:cs="Arial"/>
          <w:i/>
          <w:iCs/>
          <w:sz w:val="24"/>
          <w:szCs w:val="24"/>
        </w:rPr>
        <w:t>et al</w:t>
      </w:r>
      <w:r w:rsidR="00D30D38" w:rsidRPr="006237B7">
        <w:rPr>
          <w:rFonts w:ascii="Arial" w:hAnsi="Arial" w:cs="Arial"/>
          <w:sz w:val="24"/>
          <w:szCs w:val="24"/>
        </w:rPr>
        <w:t>., 2018). SME Aviation not only need the appropriate strategy – for emailing, printing documents, consumer access to secure information platform on pricing; it must also boost stakeholder’s confidence in the security as well as encourage a collaborative approach to governance.</w:t>
      </w:r>
    </w:p>
    <w:p w14:paraId="006F4035" w14:textId="24B70A15" w:rsidR="00DC01E5" w:rsidRDefault="00DC01E5" w:rsidP="00DC01E5">
      <w:pPr>
        <w:pStyle w:val="HTMLPreformatted"/>
        <w:spacing w:line="480" w:lineRule="auto"/>
        <w:jc w:val="both"/>
        <w:rPr>
          <w:rFonts w:ascii="Arial" w:hAnsi="Arial" w:cs="Arial"/>
          <w:szCs w:val="24"/>
        </w:rPr>
      </w:pPr>
      <w:r>
        <w:rPr>
          <w:rFonts w:ascii="Arial" w:hAnsi="Arial" w:cs="Arial"/>
          <w:sz w:val="24"/>
          <w:szCs w:val="24"/>
        </w:rPr>
        <w:lastRenderedPageBreak/>
        <w:tab/>
      </w:r>
      <w:r w:rsidR="00D30D38" w:rsidRPr="00DC01E5">
        <w:rPr>
          <w:rFonts w:ascii="Arial" w:hAnsi="Arial" w:cs="Arial"/>
          <w:sz w:val="24"/>
          <w:szCs w:val="24"/>
        </w:rPr>
        <w:t xml:space="preserve">Nonetheless, how could the implementation of the right industrial cyber policy contribute to the robustness of multi-stakeholder governance approach? </w:t>
      </w:r>
      <w:proofErr w:type="spellStart"/>
      <w:r w:rsidR="00D30D38" w:rsidRPr="00DC01E5">
        <w:rPr>
          <w:rFonts w:ascii="Arial" w:hAnsi="Arial" w:cs="Arial"/>
          <w:sz w:val="24"/>
          <w:szCs w:val="24"/>
        </w:rPr>
        <w:t>GreenPope</w:t>
      </w:r>
      <w:proofErr w:type="spellEnd"/>
      <w:r w:rsidR="00D30D38" w:rsidRPr="00DC01E5">
        <w:rPr>
          <w:rFonts w:ascii="Arial" w:hAnsi="Arial" w:cs="Arial"/>
          <w:sz w:val="24"/>
          <w:szCs w:val="24"/>
        </w:rPr>
        <w:t xml:space="preserve"> </w:t>
      </w:r>
      <w:r w:rsidR="00B50415" w:rsidRPr="00B50415">
        <w:rPr>
          <w:rFonts w:ascii="Arial" w:hAnsi="Arial" w:cs="Arial"/>
          <w:i/>
          <w:iCs/>
          <w:sz w:val="24"/>
          <w:szCs w:val="24"/>
        </w:rPr>
        <w:t>et al</w:t>
      </w:r>
      <w:r w:rsidR="00D30D38" w:rsidRPr="00DC01E5">
        <w:rPr>
          <w:rFonts w:ascii="Arial" w:hAnsi="Arial" w:cs="Arial"/>
          <w:sz w:val="24"/>
          <w:szCs w:val="24"/>
        </w:rPr>
        <w:t xml:space="preserve">. (2010) argued that such an approach “requires tightly choreographed activities across organisations in diverse locations.” The strategy accentuates the responsibilities of Airport Commissions, Department of Transport, Ministry of </w:t>
      </w:r>
      <w:proofErr w:type="spellStart"/>
      <w:r w:rsidR="00D30D38" w:rsidRPr="00DC01E5">
        <w:rPr>
          <w:rFonts w:ascii="Arial" w:hAnsi="Arial" w:cs="Arial"/>
          <w:sz w:val="24"/>
          <w:szCs w:val="24"/>
        </w:rPr>
        <w:t>Defense</w:t>
      </w:r>
      <w:proofErr w:type="spellEnd"/>
      <w:r w:rsidR="00D30D38" w:rsidRPr="00DC01E5">
        <w:rPr>
          <w:rFonts w:ascii="Arial" w:hAnsi="Arial" w:cs="Arial"/>
          <w:sz w:val="24"/>
          <w:szCs w:val="24"/>
        </w:rPr>
        <w:t xml:space="preserve"> (MOD) and other Aviation security organisations; under which the synergy works. Aggarwal and </w:t>
      </w:r>
      <w:proofErr w:type="spellStart"/>
      <w:r w:rsidR="00D30D38" w:rsidRPr="00DC01E5">
        <w:rPr>
          <w:rFonts w:ascii="Arial" w:hAnsi="Arial" w:cs="Arial"/>
          <w:sz w:val="24"/>
          <w:szCs w:val="24"/>
        </w:rPr>
        <w:t>Reddie</w:t>
      </w:r>
      <w:proofErr w:type="spellEnd"/>
      <w:r w:rsidR="00D30D38" w:rsidRPr="00DC01E5">
        <w:rPr>
          <w:rFonts w:ascii="Arial" w:hAnsi="Arial" w:cs="Arial"/>
          <w:sz w:val="24"/>
          <w:szCs w:val="24"/>
        </w:rPr>
        <w:t xml:space="preserve"> (2018) evaluate the role of businesses, governments, other critical stakeholders in the emergence of industrial policy. Aggarwal and </w:t>
      </w:r>
      <w:proofErr w:type="spellStart"/>
      <w:r w:rsidR="00D30D38" w:rsidRPr="00DC01E5">
        <w:rPr>
          <w:rFonts w:ascii="Arial" w:hAnsi="Arial" w:cs="Arial"/>
          <w:sz w:val="24"/>
          <w:szCs w:val="24"/>
        </w:rPr>
        <w:t>Reddie</w:t>
      </w:r>
      <w:proofErr w:type="spellEnd"/>
      <w:r w:rsidR="00D30D38" w:rsidRPr="00DC01E5">
        <w:rPr>
          <w:rFonts w:ascii="Arial" w:hAnsi="Arial" w:cs="Arial"/>
          <w:sz w:val="24"/>
          <w:szCs w:val="24"/>
        </w:rPr>
        <w:t xml:space="preserve"> corroborated Sender’s (2016) view that there is the emerging escalation of the geopolitical context in cyber policy content of both UK, US, and other world power to strategic competition. This competition could anchor the widespread use of the internet as a global venue for international cybercrime</w:t>
      </w:r>
      <w:r w:rsidR="00D30D38" w:rsidRPr="00D30D38">
        <w:rPr>
          <w:rFonts w:ascii="Arial" w:hAnsi="Arial" w:cs="Arial"/>
          <w:szCs w:val="24"/>
        </w:rPr>
        <w:t>.</w:t>
      </w:r>
    </w:p>
    <w:p w14:paraId="5E5710B8" w14:textId="01C22EC8" w:rsidR="00D30D38" w:rsidRPr="00DC01E5" w:rsidRDefault="00DC01E5" w:rsidP="00DC01E5">
      <w:pPr>
        <w:pStyle w:val="HTMLPreformatted"/>
        <w:spacing w:line="480" w:lineRule="auto"/>
        <w:jc w:val="both"/>
        <w:rPr>
          <w:rFonts w:ascii="Arial" w:hAnsi="Arial" w:cs="Arial"/>
          <w:sz w:val="24"/>
          <w:szCs w:val="24"/>
        </w:rPr>
      </w:pPr>
      <w:r>
        <w:rPr>
          <w:rFonts w:ascii="Arial" w:hAnsi="Arial" w:cs="Arial"/>
          <w:szCs w:val="24"/>
        </w:rPr>
        <w:tab/>
      </w:r>
      <w:proofErr w:type="spellStart"/>
      <w:r w:rsidR="00D30D38" w:rsidRPr="00DC01E5">
        <w:rPr>
          <w:rFonts w:ascii="Arial" w:hAnsi="Arial" w:cs="Arial"/>
          <w:sz w:val="24"/>
          <w:szCs w:val="24"/>
        </w:rPr>
        <w:t>Timmers</w:t>
      </w:r>
      <w:proofErr w:type="spellEnd"/>
      <w:r w:rsidR="00D30D38" w:rsidRPr="00DC01E5">
        <w:rPr>
          <w:rFonts w:ascii="Arial" w:hAnsi="Arial" w:cs="Arial"/>
          <w:sz w:val="24"/>
          <w:szCs w:val="24"/>
        </w:rPr>
        <w:t xml:space="preserve"> (2018) underscores that due to the diverse content of economic cooperation of its member states, EU levelled cybersecurity as security-strategy within various industry and that of policymaking. In</w:t>
      </w:r>
      <w:r w:rsidR="00D913BB">
        <w:rPr>
          <w:rFonts w:ascii="Arial" w:hAnsi="Arial" w:cs="Arial"/>
          <w:sz w:val="24"/>
          <w:szCs w:val="24"/>
        </w:rPr>
        <w:t xml:space="preserve"> the</w:t>
      </w:r>
      <w:r w:rsidR="00D30D38" w:rsidRPr="00DC01E5">
        <w:rPr>
          <w:rFonts w:ascii="Arial" w:hAnsi="Arial" w:cs="Arial"/>
          <w:sz w:val="24"/>
          <w:szCs w:val="24"/>
        </w:rPr>
        <w:t xml:space="preserve"> develop</w:t>
      </w:r>
      <w:r w:rsidR="005F4D30">
        <w:rPr>
          <w:rFonts w:ascii="Arial" w:hAnsi="Arial" w:cs="Arial"/>
          <w:sz w:val="24"/>
          <w:szCs w:val="24"/>
        </w:rPr>
        <w:t xml:space="preserve">ment of </w:t>
      </w:r>
      <w:r w:rsidR="00D30D38" w:rsidRPr="00DC01E5">
        <w:rPr>
          <w:rFonts w:ascii="Arial" w:hAnsi="Arial" w:cs="Arial"/>
          <w:sz w:val="24"/>
          <w:szCs w:val="24"/>
        </w:rPr>
        <w:t>effective cyber policy, there could be some challenges</w:t>
      </w:r>
      <w:r w:rsidR="00D913BB">
        <w:rPr>
          <w:rFonts w:ascii="Arial" w:hAnsi="Arial" w:cs="Arial"/>
          <w:sz w:val="24"/>
          <w:szCs w:val="24"/>
        </w:rPr>
        <w:t xml:space="preserve"> (</w:t>
      </w:r>
      <w:proofErr w:type="spellStart"/>
      <w:r w:rsidR="00D913BB">
        <w:rPr>
          <w:rFonts w:ascii="Arial" w:hAnsi="Arial" w:cs="Arial"/>
          <w:sz w:val="24"/>
          <w:szCs w:val="24"/>
        </w:rPr>
        <w:t>Ademola</w:t>
      </w:r>
      <w:proofErr w:type="spellEnd"/>
      <w:r w:rsidR="00D913BB">
        <w:rPr>
          <w:rFonts w:ascii="Arial" w:hAnsi="Arial" w:cs="Arial"/>
          <w:sz w:val="24"/>
          <w:szCs w:val="24"/>
        </w:rPr>
        <w:t>, 2019)</w:t>
      </w:r>
      <w:r w:rsidR="00D30D38" w:rsidRPr="00DC01E5">
        <w:rPr>
          <w:rFonts w:ascii="Arial" w:hAnsi="Arial" w:cs="Arial"/>
          <w:sz w:val="24"/>
          <w:szCs w:val="24"/>
        </w:rPr>
        <w:t xml:space="preserve">; for example, if there is evidence of constrained command, EU nations could perceive the economic implication regarding cybersecurity as a matter of national security concern. Despite the challenges, </w:t>
      </w:r>
      <w:proofErr w:type="spellStart"/>
      <w:r w:rsidR="00D30D38" w:rsidRPr="00DC01E5">
        <w:rPr>
          <w:rFonts w:ascii="Arial" w:hAnsi="Arial" w:cs="Arial"/>
          <w:sz w:val="24"/>
          <w:szCs w:val="24"/>
        </w:rPr>
        <w:t>Timmer</w:t>
      </w:r>
      <w:proofErr w:type="spellEnd"/>
      <w:r w:rsidR="00D30D38" w:rsidRPr="00DC01E5">
        <w:rPr>
          <w:rFonts w:ascii="Arial" w:hAnsi="Arial" w:cs="Arial"/>
          <w:sz w:val="24"/>
          <w:szCs w:val="24"/>
        </w:rPr>
        <w:t xml:space="preserve"> concluded that with multi-stakeholder governance approach, decision-makers could provide EU member states with a joint cyber industrial policy.</w:t>
      </w:r>
    </w:p>
    <w:p w14:paraId="7B3C851F" w14:textId="146DDB7A" w:rsidR="00117707" w:rsidRPr="00312389" w:rsidRDefault="00117707" w:rsidP="00DC01E5">
      <w:pPr>
        <w:spacing w:line="480" w:lineRule="auto"/>
        <w:ind w:firstLine="720"/>
        <w:jc w:val="both"/>
        <w:rPr>
          <w:rFonts w:ascii="Arial" w:hAnsi="Arial" w:cs="Arial"/>
          <w:szCs w:val="24"/>
        </w:rPr>
      </w:pPr>
      <w:r w:rsidRPr="00312389">
        <w:rPr>
          <w:rFonts w:ascii="Arial" w:hAnsi="Arial" w:cs="Arial"/>
          <w:szCs w:val="24"/>
        </w:rPr>
        <w:t>The latest Aviation Strategy reiterates the centrality and efficacy of the UK as the most significant internet economy in the G20 (</w:t>
      </w:r>
      <w:proofErr w:type="spellStart"/>
      <w:r w:rsidRPr="00312389">
        <w:rPr>
          <w:rFonts w:ascii="Arial" w:hAnsi="Arial" w:cs="Arial"/>
          <w:szCs w:val="24"/>
        </w:rPr>
        <w:t>Carr</w:t>
      </w:r>
      <w:proofErr w:type="spellEnd"/>
      <w:r w:rsidRPr="00312389">
        <w:rPr>
          <w:rFonts w:ascii="Arial" w:hAnsi="Arial" w:cs="Arial"/>
          <w:szCs w:val="24"/>
        </w:rPr>
        <w:t xml:space="preserve"> and </w:t>
      </w:r>
      <w:proofErr w:type="spellStart"/>
      <w:r w:rsidRPr="00312389">
        <w:rPr>
          <w:rFonts w:ascii="Arial" w:hAnsi="Arial" w:cs="Arial"/>
          <w:szCs w:val="24"/>
        </w:rPr>
        <w:t>Tanczer</w:t>
      </w:r>
      <w:proofErr w:type="spellEnd"/>
      <w:r w:rsidRPr="00312389">
        <w:rPr>
          <w:rFonts w:ascii="Arial" w:hAnsi="Arial" w:cs="Arial"/>
          <w:szCs w:val="24"/>
        </w:rPr>
        <w:t xml:space="preserve">, 2018). It’s an envisioned synergy for been the ‘safest place in the world to live and work online’. </w:t>
      </w:r>
      <w:proofErr w:type="spellStart"/>
      <w:r w:rsidRPr="00312389">
        <w:rPr>
          <w:rFonts w:ascii="Arial" w:hAnsi="Arial" w:cs="Arial"/>
          <w:szCs w:val="24"/>
        </w:rPr>
        <w:t>Carr</w:t>
      </w:r>
      <w:proofErr w:type="spellEnd"/>
      <w:r w:rsidRPr="00312389">
        <w:rPr>
          <w:rFonts w:ascii="Arial" w:hAnsi="Arial" w:cs="Arial"/>
          <w:szCs w:val="24"/>
        </w:rPr>
        <w:t xml:space="preserve"> and </w:t>
      </w:r>
      <w:proofErr w:type="spellStart"/>
      <w:r w:rsidRPr="00312389">
        <w:rPr>
          <w:rFonts w:ascii="Arial" w:hAnsi="Arial" w:cs="Arial"/>
          <w:szCs w:val="24"/>
        </w:rPr>
        <w:t>Tanczer</w:t>
      </w:r>
      <w:proofErr w:type="spellEnd"/>
      <w:r w:rsidRPr="00312389">
        <w:rPr>
          <w:rFonts w:ascii="Arial" w:hAnsi="Arial" w:cs="Arial"/>
          <w:szCs w:val="24"/>
        </w:rPr>
        <w:t xml:space="preserve"> accentuate the opportunities due to the November 2011’s launch </w:t>
      </w:r>
      <w:r w:rsidRPr="00312389">
        <w:rPr>
          <w:rFonts w:ascii="Arial" w:hAnsi="Arial" w:cs="Arial"/>
          <w:szCs w:val="24"/>
        </w:rPr>
        <w:lastRenderedPageBreak/>
        <w:t xml:space="preserve">of the UK’s first National Cyber Security Strategy (NCSS). The strategy underpins the emergency from an initial heavy reliance on market forces towards more collaborative governance as a state-driven public-private partnership (De </w:t>
      </w:r>
      <w:proofErr w:type="spellStart"/>
      <w:r w:rsidRPr="00312389">
        <w:rPr>
          <w:rFonts w:ascii="Arial" w:hAnsi="Arial" w:cs="Arial"/>
          <w:szCs w:val="24"/>
        </w:rPr>
        <w:t>Haes</w:t>
      </w:r>
      <w:proofErr w:type="spellEnd"/>
      <w:r w:rsidRPr="00312389">
        <w:rPr>
          <w:rFonts w:ascii="Arial" w:hAnsi="Arial" w:cs="Arial"/>
          <w:szCs w:val="24"/>
        </w:rPr>
        <w:t xml:space="preserve"> and Van </w:t>
      </w:r>
      <w:proofErr w:type="spellStart"/>
      <w:r w:rsidRPr="00312389">
        <w:rPr>
          <w:rFonts w:ascii="Arial" w:hAnsi="Arial" w:cs="Arial"/>
          <w:szCs w:val="24"/>
        </w:rPr>
        <w:t>Grembergen</w:t>
      </w:r>
      <w:proofErr w:type="spellEnd"/>
      <w:r w:rsidRPr="00312389">
        <w:rPr>
          <w:rFonts w:ascii="Arial" w:hAnsi="Arial" w:cs="Arial"/>
          <w:szCs w:val="24"/>
        </w:rPr>
        <w:t>, 2009). Remarkably, it is a call for an urgent and more proactive role in policy debates concerning how to address and maintain an ‘edge’ in global competition surrounding high ITG. Additionally, with the notion of multi-stakeholder governance security scaling, the practice of industrial policy in the marketplace remains an emerging force.</w:t>
      </w:r>
    </w:p>
    <w:p w14:paraId="5BCC02C0" w14:textId="3BCD2B2C" w:rsidR="00117707" w:rsidRPr="00312389" w:rsidRDefault="00117707" w:rsidP="00FA00DC">
      <w:pPr>
        <w:spacing w:line="480" w:lineRule="auto"/>
        <w:ind w:firstLine="720"/>
        <w:jc w:val="both"/>
        <w:rPr>
          <w:rFonts w:ascii="Arial" w:hAnsi="Arial" w:cs="Arial"/>
          <w:szCs w:val="24"/>
        </w:rPr>
      </w:pPr>
      <w:r w:rsidRPr="00312389">
        <w:rPr>
          <w:rFonts w:ascii="Arial" w:hAnsi="Arial" w:cs="Arial"/>
          <w:szCs w:val="24"/>
        </w:rPr>
        <w:t xml:space="preserve">With the robust implementation of ITG,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w:t>
      </w:r>
      <w:proofErr w:type="spellEnd"/>
      <w:r w:rsidRPr="00312389">
        <w:rPr>
          <w:rFonts w:ascii="Arial" w:hAnsi="Arial" w:cs="Arial"/>
          <w:szCs w:val="24"/>
        </w:rPr>
        <w:t xml:space="preserve"> (2008) noted that a cyber policy can always be at an efficiency to align business outcomes and IT appropriately. For instance, with effective adoption of appropriate ITG, the use of process theory could imply a limited synergy regarding business/IT alignment’s maturity.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w:t>
      </w:r>
      <w:proofErr w:type="spellEnd"/>
      <w:r w:rsidRPr="00312389">
        <w:rPr>
          <w:rFonts w:ascii="Arial" w:hAnsi="Arial" w:cs="Arial"/>
          <w:szCs w:val="24"/>
        </w:rPr>
        <w:t xml:space="preserve"> (2009) suggest that at such point of business/IT alignment, such could be an effective synergy to implement a policy. Apparently, in practice, a process might exhibit a likely outcome for robust competitiveness. Huang </w:t>
      </w:r>
      <w:r w:rsidR="00B50415" w:rsidRPr="00B50415">
        <w:rPr>
          <w:rFonts w:ascii="Arial" w:hAnsi="Arial" w:cs="Arial"/>
          <w:i/>
          <w:iCs/>
          <w:szCs w:val="24"/>
        </w:rPr>
        <w:t>et al</w:t>
      </w:r>
      <w:r w:rsidRPr="00312389">
        <w:rPr>
          <w:rFonts w:ascii="Arial" w:hAnsi="Arial" w:cs="Arial"/>
          <w:szCs w:val="24"/>
        </w:rPr>
        <w:t xml:space="preserve">. (2010) agreed with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Grembergen’s</w:t>
      </w:r>
      <w:proofErr w:type="spellEnd"/>
      <w:r w:rsidRPr="00312389">
        <w:rPr>
          <w:rFonts w:ascii="Arial" w:hAnsi="Arial" w:cs="Arial"/>
          <w:szCs w:val="24"/>
        </w:rPr>
        <w:t xml:space="preserve"> conclusion that applying a mix of mature ITG implementations in SMEs promote the efficiency of cyber policymaking. Conversely, a state-driven policy with linkages to internet governance could suffice a dramatic outcome considering Porter’s (1979) five forces (Gary and </w:t>
      </w:r>
      <w:proofErr w:type="spellStart"/>
      <w:r w:rsidRPr="00312389">
        <w:rPr>
          <w:rFonts w:ascii="Arial" w:hAnsi="Arial" w:cs="Arial"/>
          <w:szCs w:val="24"/>
        </w:rPr>
        <w:t>Heiko</w:t>
      </w:r>
      <w:proofErr w:type="spellEnd"/>
      <w:r w:rsidRPr="00312389">
        <w:rPr>
          <w:rFonts w:ascii="Arial" w:hAnsi="Arial" w:cs="Arial"/>
          <w:szCs w:val="24"/>
        </w:rPr>
        <w:t xml:space="preserve">, 2015; Porter, 2008). </w:t>
      </w:r>
    </w:p>
    <w:p w14:paraId="491A30BA" w14:textId="5459F186" w:rsidR="00B92167" w:rsidRPr="00312389" w:rsidRDefault="00117707" w:rsidP="00FA00DC">
      <w:pPr>
        <w:spacing w:line="480" w:lineRule="auto"/>
        <w:ind w:firstLine="576"/>
        <w:jc w:val="both"/>
        <w:rPr>
          <w:rFonts w:ascii="Arial" w:hAnsi="Arial" w:cs="Arial"/>
          <w:szCs w:val="24"/>
        </w:rPr>
      </w:pPr>
      <w:r w:rsidRPr="00312389">
        <w:rPr>
          <w:rFonts w:ascii="Arial" w:hAnsi="Arial" w:cs="Arial"/>
          <w:szCs w:val="24"/>
        </w:rPr>
        <w:t>The exploration will premise on developing a cyber policy framework. It is a proposition that intends to enhance the governance approach. Objectively, it will deliver an exploratory notion of engaging with ITG and MSGS. Notwithstanding, the extensive work about ITG since the late nineties up-till-date (</w:t>
      </w:r>
      <w:proofErr w:type="spellStart"/>
      <w:r w:rsidR="00B3328A">
        <w:rPr>
          <w:rFonts w:ascii="Arial" w:hAnsi="Arial" w:cs="Arial"/>
          <w:szCs w:val="24"/>
        </w:rPr>
        <w:t>Ademola</w:t>
      </w:r>
      <w:proofErr w:type="spellEnd"/>
      <w:r w:rsidR="00CC604B">
        <w:rPr>
          <w:rFonts w:ascii="Arial" w:hAnsi="Arial" w:cs="Arial"/>
          <w:szCs w:val="24"/>
        </w:rPr>
        <w:t xml:space="preserve">, 2019; </w:t>
      </w:r>
      <w:r w:rsidRPr="00312389">
        <w:rPr>
          <w:rFonts w:ascii="Arial" w:hAnsi="Arial" w:cs="Arial"/>
          <w:szCs w:val="24"/>
        </w:rPr>
        <w:t xml:space="preserve">Callahan </w:t>
      </w:r>
      <w:r w:rsidR="00B50415" w:rsidRPr="00B50415">
        <w:rPr>
          <w:rFonts w:ascii="Arial" w:hAnsi="Arial" w:cs="Arial"/>
          <w:i/>
          <w:iCs/>
          <w:szCs w:val="24"/>
        </w:rPr>
        <w:t>et al</w:t>
      </w:r>
      <w:r w:rsidRPr="00312389">
        <w:rPr>
          <w:rFonts w:ascii="Arial" w:hAnsi="Arial" w:cs="Arial"/>
          <w:szCs w:val="24"/>
        </w:rPr>
        <w:t xml:space="preserve">., 2004;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w:t>
      </w:r>
      <w:proofErr w:type="spellEnd"/>
      <w:r w:rsidRPr="00312389">
        <w:rPr>
          <w:rFonts w:ascii="Arial" w:hAnsi="Arial" w:cs="Arial"/>
          <w:szCs w:val="24"/>
        </w:rPr>
        <w:t xml:space="preserve">, 2006; </w:t>
      </w:r>
      <w:proofErr w:type="spellStart"/>
      <w:r w:rsidRPr="00312389">
        <w:rPr>
          <w:rFonts w:ascii="Arial" w:hAnsi="Arial" w:cs="Arial"/>
          <w:szCs w:val="24"/>
        </w:rPr>
        <w:t>Grembergen</w:t>
      </w:r>
      <w:proofErr w:type="spellEnd"/>
      <w:r w:rsidRPr="00312389">
        <w:rPr>
          <w:rFonts w:ascii="Arial" w:hAnsi="Arial" w:cs="Arial"/>
          <w:szCs w:val="24"/>
        </w:rPr>
        <w:t xml:space="preserve"> and De </w:t>
      </w:r>
      <w:proofErr w:type="spellStart"/>
      <w:r w:rsidRPr="00312389">
        <w:rPr>
          <w:rFonts w:ascii="Arial" w:hAnsi="Arial" w:cs="Arial"/>
          <w:szCs w:val="24"/>
        </w:rPr>
        <w:t>Haes</w:t>
      </w:r>
      <w:proofErr w:type="spellEnd"/>
      <w:r w:rsidRPr="00312389">
        <w:rPr>
          <w:rFonts w:ascii="Arial" w:hAnsi="Arial" w:cs="Arial"/>
          <w:szCs w:val="24"/>
        </w:rPr>
        <w:t xml:space="preserve">, </w:t>
      </w:r>
      <w:r w:rsidRPr="00312389">
        <w:rPr>
          <w:rFonts w:ascii="Arial" w:hAnsi="Arial" w:cs="Arial"/>
          <w:szCs w:val="24"/>
        </w:rPr>
        <w:lastRenderedPageBreak/>
        <w:t>2018</w:t>
      </w:r>
      <w:r w:rsidR="00D528C0">
        <w:rPr>
          <w:rFonts w:ascii="Arial" w:hAnsi="Arial" w:cs="Arial"/>
          <w:szCs w:val="24"/>
        </w:rPr>
        <w:t xml:space="preserve">; </w:t>
      </w:r>
      <w:r w:rsidR="00D528C0" w:rsidRPr="00312389">
        <w:rPr>
          <w:rFonts w:ascii="Arial" w:hAnsi="Arial" w:cs="Arial"/>
          <w:szCs w:val="24"/>
        </w:rPr>
        <w:t>Peterson, 2001, 2004</w:t>
      </w:r>
      <w:r w:rsidRPr="00312389">
        <w:rPr>
          <w:rFonts w:ascii="Arial" w:hAnsi="Arial" w:cs="Arial"/>
          <w:szCs w:val="24"/>
        </w:rPr>
        <w:t>)</w:t>
      </w:r>
      <w:r w:rsidR="00F150D1">
        <w:rPr>
          <w:rFonts w:ascii="Arial" w:hAnsi="Arial" w:cs="Arial"/>
          <w:szCs w:val="24"/>
        </w:rPr>
        <w:t xml:space="preserve">. </w:t>
      </w:r>
      <w:r w:rsidR="00B92167" w:rsidRPr="00B92167">
        <w:rPr>
          <w:rFonts w:ascii="Arial" w:hAnsi="Arial" w:cs="Arial"/>
          <w:szCs w:val="24"/>
        </w:rPr>
        <w:t>The researchers are notably concurring with the notion of exploring the linkages between ITG and MSGS and considering such as an intriguing in meeting future research needs.</w:t>
      </w:r>
    </w:p>
    <w:p w14:paraId="7BDD7B24" w14:textId="3B962318" w:rsidR="00DD1CF4" w:rsidRPr="00312389" w:rsidRDefault="00DD1CF4" w:rsidP="00D40EBB">
      <w:pPr>
        <w:pStyle w:val="Heading2"/>
        <w:spacing w:line="480" w:lineRule="auto"/>
        <w:rPr>
          <w:rFonts w:ascii="Arial" w:hAnsi="Arial" w:cs="Arial"/>
        </w:rPr>
      </w:pPr>
      <w:bookmarkStart w:id="5" w:name="_Toc72189370"/>
      <w:r w:rsidRPr="00312389">
        <w:rPr>
          <w:rFonts w:ascii="Arial" w:hAnsi="Arial" w:cs="Arial"/>
        </w:rPr>
        <w:t xml:space="preserve">Research </w:t>
      </w:r>
      <w:r w:rsidR="0027589B" w:rsidRPr="00312389">
        <w:rPr>
          <w:rFonts w:ascii="Arial" w:hAnsi="Arial" w:cs="Arial"/>
        </w:rPr>
        <w:t>F</w:t>
      </w:r>
      <w:r w:rsidRPr="00312389">
        <w:rPr>
          <w:rFonts w:ascii="Arial" w:hAnsi="Arial" w:cs="Arial"/>
        </w:rPr>
        <w:t>ocus</w:t>
      </w:r>
      <w:bookmarkEnd w:id="5"/>
    </w:p>
    <w:p w14:paraId="62102F35" w14:textId="6A095AE9" w:rsidR="00947A8C" w:rsidRDefault="00DD1CF4" w:rsidP="00FA00DC">
      <w:pPr>
        <w:spacing w:line="480" w:lineRule="auto"/>
        <w:ind w:firstLine="576"/>
        <w:jc w:val="both"/>
        <w:rPr>
          <w:rFonts w:ascii="Arial" w:hAnsi="Arial" w:cs="Arial"/>
          <w:szCs w:val="24"/>
        </w:rPr>
      </w:pPr>
      <w:r w:rsidRPr="00312389">
        <w:rPr>
          <w:rFonts w:ascii="Arial" w:hAnsi="Arial" w:cs="Arial"/>
          <w:szCs w:val="24"/>
        </w:rPr>
        <w:t xml:space="preserve">There is </w:t>
      </w:r>
      <w:bookmarkStart w:id="6" w:name="_Hlk13038418"/>
      <w:r w:rsidRPr="00312389">
        <w:rPr>
          <w:rFonts w:ascii="Arial" w:hAnsi="Arial" w:cs="Arial"/>
          <w:szCs w:val="24"/>
        </w:rPr>
        <w:t>some perplexity to the implementable cyber policy in SMEs</w:t>
      </w:r>
      <w:bookmarkEnd w:id="6"/>
      <w:r w:rsidRPr="00312389">
        <w:rPr>
          <w:rFonts w:ascii="Arial" w:hAnsi="Arial" w:cs="Arial"/>
          <w:szCs w:val="24"/>
        </w:rPr>
        <w:t>. Serious issues remain as concerning possible impediments to the successful implementation of cyber policy. For instance, there have been concerns over uniting different points of view from a different arrangement of security contribution of scholastic commitments in research philosophy and approach (</w:t>
      </w:r>
      <w:proofErr w:type="spellStart"/>
      <w:r w:rsidRPr="00312389">
        <w:rPr>
          <w:rFonts w:ascii="Arial" w:hAnsi="Arial" w:cs="Arial"/>
          <w:szCs w:val="24"/>
        </w:rPr>
        <w:t>Babbie</w:t>
      </w:r>
      <w:proofErr w:type="spellEnd"/>
      <w:r w:rsidRPr="00312389">
        <w:rPr>
          <w:rFonts w:ascii="Arial" w:hAnsi="Arial" w:cs="Arial"/>
          <w:szCs w:val="24"/>
        </w:rPr>
        <w:t xml:space="preserve">, 2017; </w:t>
      </w:r>
      <w:proofErr w:type="spellStart"/>
      <w:r w:rsidRPr="00312389">
        <w:rPr>
          <w:rFonts w:ascii="Arial" w:hAnsi="Arial" w:cs="Arial"/>
          <w:szCs w:val="24"/>
        </w:rPr>
        <w:t>Parn</w:t>
      </w:r>
      <w:proofErr w:type="spellEnd"/>
      <w:r w:rsidRPr="00312389">
        <w:rPr>
          <w:rFonts w:ascii="Arial" w:hAnsi="Arial" w:cs="Arial"/>
          <w:szCs w:val="24"/>
        </w:rPr>
        <w:t xml:space="preserve"> and Edwards, 2019). It is essential to evaluate how the exploration of ideas from a multidisciplinary </w:t>
      </w:r>
      <w:proofErr w:type="spellStart"/>
      <w:r w:rsidRPr="00312389">
        <w:rPr>
          <w:rFonts w:ascii="Arial" w:hAnsi="Arial" w:cs="Arial"/>
          <w:szCs w:val="24"/>
        </w:rPr>
        <w:t>preceptive</w:t>
      </w:r>
      <w:proofErr w:type="spellEnd"/>
      <w:r w:rsidRPr="00312389">
        <w:rPr>
          <w:rFonts w:ascii="Arial" w:hAnsi="Arial" w:cs="Arial"/>
          <w:szCs w:val="24"/>
        </w:rPr>
        <w:t xml:space="preserve"> helps to examine mechanical strategies to address cybersecurity vulnerabilities (</w:t>
      </w:r>
      <w:proofErr w:type="spellStart"/>
      <w:r w:rsidRPr="00312389">
        <w:rPr>
          <w:rFonts w:ascii="Arial" w:hAnsi="Arial" w:cs="Arial"/>
          <w:szCs w:val="24"/>
        </w:rPr>
        <w:t>Emmersen</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2019; Fields, 2018). With the developing number of SMEs in the UK excluding Northern Ireland, 5.5 million as of November 2016 (Gov.uk 2016), the UK has the most extensive internet economy of the G20 countries with percentage contribution to GDP since 2010 (Department for Culture, Media and Sport 2017). Cyber policy researchers advocate for governance cooperation in general industrial policy making (</w:t>
      </w:r>
      <w:proofErr w:type="spellStart"/>
      <w:r w:rsidRPr="00312389">
        <w:rPr>
          <w:rFonts w:ascii="Arial" w:hAnsi="Arial" w:cs="Arial"/>
          <w:szCs w:val="24"/>
        </w:rPr>
        <w:t>Carr</w:t>
      </w:r>
      <w:proofErr w:type="spellEnd"/>
      <w:r w:rsidRPr="00312389">
        <w:rPr>
          <w:rFonts w:ascii="Arial" w:hAnsi="Arial" w:cs="Arial"/>
          <w:szCs w:val="24"/>
        </w:rPr>
        <w:t xml:space="preserve"> and </w:t>
      </w:r>
      <w:proofErr w:type="spellStart"/>
      <w:r w:rsidRPr="00312389">
        <w:rPr>
          <w:rFonts w:ascii="Arial" w:hAnsi="Arial" w:cs="Arial"/>
          <w:szCs w:val="24"/>
        </w:rPr>
        <w:t>Tanczer</w:t>
      </w:r>
      <w:proofErr w:type="spellEnd"/>
      <w:r w:rsidRPr="00312389">
        <w:rPr>
          <w:rFonts w:ascii="Arial" w:hAnsi="Arial" w:cs="Arial"/>
          <w:szCs w:val="24"/>
        </w:rPr>
        <w:t xml:space="preserve">, 2018; </w:t>
      </w:r>
      <w:proofErr w:type="spellStart"/>
      <w:r w:rsidRPr="00312389">
        <w:rPr>
          <w:rFonts w:ascii="Arial" w:hAnsi="Arial" w:cs="Arial"/>
          <w:szCs w:val="24"/>
        </w:rPr>
        <w:t>Timmers</w:t>
      </w:r>
      <w:proofErr w:type="spellEnd"/>
      <w:r w:rsidRPr="00312389">
        <w:rPr>
          <w:rFonts w:ascii="Arial" w:hAnsi="Arial" w:cs="Arial"/>
          <w:szCs w:val="24"/>
        </w:rPr>
        <w:t xml:space="preserve">, 2018). </w:t>
      </w:r>
    </w:p>
    <w:p w14:paraId="38F25DE9" w14:textId="4C9A6742" w:rsidR="00043CF5" w:rsidRPr="00FA0423" w:rsidRDefault="00947A8C" w:rsidP="00FA00DC">
      <w:pPr>
        <w:spacing w:line="480" w:lineRule="auto"/>
        <w:ind w:firstLine="576"/>
        <w:jc w:val="both"/>
        <w:rPr>
          <w:rFonts w:ascii="Arial" w:hAnsi="Arial" w:cs="Arial"/>
          <w:color w:val="000000"/>
          <w:szCs w:val="24"/>
        </w:rPr>
      </w:pPr>
      <w:r w:rsidRPr="00FA0423">
        <w:rPr>
          <w:rFonts w:ascii="Arial" w:hAnsi="Arial" w:cs="Arial"/>
          <w:color w:val="000000"/>
          <w:szCs w:val="24"/>
        </w:rPr>
        <w:t>Cyber policy analysts and decision-makers are also warning that researchers and practitioners in businesses require to understand the challenges associated with the theoretical framework for the analysis of cyber industrial policy (Editorial Office, 2018).</w:t>
      </w:r>
      <w:r w:rsidR="006F3A6B">
        <w:rPr>
          <w:rFonts w:ascii="Arial" w:hAnsi="Arial" w:cs="Arial"/>
          <w:color w:val="000000"/>
          <w:szCs w:val="24"/>
        </w:rPr>
        <w:t xml:space="preserve"> </w:t>
      </w:r>
      <w:r w:rsidRPr="00FA0423">
        <w:rPr>
          <w:rFonts w:ascii="Arial" w:hAnsi="Arial" w:cs="Arial"/>
          <w:color w:val="000000"/>
          <w:szCs w:val="24"/>
        </w:rPr>
        <w:t xml:space="preserve">Such structure of knowledge underpins a geographically diverse set of country and regional case studies in the examination of cyber industrial systems and further the drivers with global implications of cyber industrial policy across the </w:t>
      </w:r>
      <w:r w:rsidRPr="00FA0423">
        <w:rPr>
          <w:rFonts w:ascii="Arial" w:hAnsi="Arial" w:cs="Arial"/>
          <w:color w:val="000000"/>
          <w:szCs w:val="24"/>
        </w:rPr>
        <w:lastRenderedPageBreak/>
        <w:t>industrial sector and nation. The digital industry represents 16% of the UK household; yielding 10% of its employment and 24% of the UK's exports (</w:t>
      </w:r>
      <w:proofErr w:type="spellStart"/>
      <w:r w:rsidRPr="00FA0423">
        <w:rPr>
          <w:rFonts w:ascii="Arial" w:hAnsi="Arial" w:cs="Arial"/>
          <w:color w:val="000000"/>
          <w:szCs w:val="24"/>
        </w:rPr>
        <w:t>Chakravorti</w:t>
      </w:r>
      <w:proofErr w:type="spellEnd"/>
      <w:r w:rsidRPr="00FA0423">
        <w:rPr>
          <w:rFonts w:ascii="Arial" w:hAnsi="Arial" w:cs="Arial"/>
          <w:color w:val="000000"/>
          <w:szCs w:val="24"/>
        </w:rPr>
        <w:t xml:space="preserve"> and </w:t>
      </w:r>
      <w:proofErr w:type="spellStart"/>
      <w:r w:rsidRPr="00FA0423">
        <w:rPr>
          <w:rFonts w:ascii="Arial" w:hAnsi="Arial" w:cs="Arial"/>
          <w:color w:val="000000"/>
          <w:szCs w:val="24"/>
        </w:rPr>
        <w:t>Chturvedi</w:t>
      </w:r>
      <w:proofErr w:type="spellEnd"/>
      <w:r w:rsidRPr="00FA0423">
        <w:rPr>
          <w:rFonts w:ascii="Arial" w:hAnsi="Arial" w:cs="Arial"/>
          <w:color w:val="000000"/>
          <w:szCs w:val="24"/>
        </w:rPr>
        <w:t>, 2017); while the SMEs, BAE Systems and QinetiQ combined working in offensive cyber programmes, the UK emerged as a core player in the global cyber industrial equation.</w:t>
      </w:r>
    </w:p>
    <w:p w14:paraId="7193F337" w14:textId="77777777" w:rsidR="00043CF5" w:rsidRPr="00FA0423" w:rsidRDefault="00947A8C" w:rsidP="006F3A6B">
      <w:pPr>
        <w:spacing w:line="480" w:lineRule="auto"/>
        <w:ind w:firstLine="576"/>
        <w:jc w:val="both"/>
        <w:rPr>
          <w:rFonts w:ascii="Arial" w:hAnsi="Arial" w:cs="Arial"/>
          <w:color w:val="000000"/>
          <w:szCs w:val="24"/>
        </w:rPr>
      </w:pPr>
      <w:r w:rsidRPr="00FA0423">
        <w:rPr>
          <w:rFonts w:ascii="Arial" w:hAnsi="Arial" w:cs="Arial"/>
          <w:color w:val="000000"/>
          <w:szCs w:val="24"/>
        </w:rPr>
        <w:t>The sector is enormous to the UK economy. It contributes to more than 120,000 jobs, most of which are outside London and the South-East with a yearly turnover of £35bn (data.parliament.uk, 2018). Scholars’ and practitioners’ support are crucial for the success of developing cyber policy implementable in SME Aviation. Governments are responding to market failures in cybersecurity with different approaches. Japan relies on market incentives and partnerships (Bartlett, 2018); China and Taiwan depended principally on their legislatures to drive change (Cheung, 2018; Huang and Li, 2018)</w:t>
      </w:r>
      <w:r w:rsidR="00043CF5" w:rsidRPr="00FA0423">
        <w:rPr>
          <w:rFonts w:ascii="Arial" w:hAnsi="Arial" w:cs="Arial"/>
          <w:color w:val="000000"/>
          <w:szCs w:val="24"/>
        </w:rPr>
        <w:t>.</w:t>
      </w:r>
    </w:p>
    <w:p w14:paraId="4804671E" w14:textId="77777777" w:rsidR="00043CF5" w:rsidRPr="00FA0423" w:rsidRDefault="00B028DB" w:rsidP="006F3A6B">
      <w:pPr>
        <w:spacing w:line="480" w:lineRule="auto"/>
        <w:ind w:firstLine="576"/>
        <w:jc w:val="both"/>
        <w:rPr>
          <w:rFonts w:ascii="Arial" w:hAnsi="Arial" w:cs="Arial"/>
          <w:color w:val="000000"/>
          <w:szCs w:val="24"/>
        </w:rPr>
      </w:pPr>
      <w:r w:rsidRPr="00FA0423">
        <w:rPr>
          <w:rFonts w:ascii="Arial" w:hAnsi="Arial" w:cs="Arial"/>
          <w:color w:val="000000"/>
          <w:szCs w:val="24"/>
        </w:rPr>
        <w:t xml:space="preserve">In Europe and North America, governments proactively present cybersecurity measures, making a shift from previous market-driven approaches to promote competitive advantages (Jensen, 2018; Aggarwal and </w:t>
      </w:r>
      <w:proofErr w:type="spellStart"/>
      <w:r w:rsidRPr="00FA0423">
        <w:rPr>
          <w:rFonts w:ascii="Arial" w:hAnsi="Arial" w:cs="Arial"/>
          <w:color w:val="000000"/>
          <w:szCs w:val="24"/>
        </w:rPr>
        <w:t>Reddie</w:t>
      </w:r>
      <w:proofErr w:type="spellEnd"/>
      <w:r w:rsidRPr="00FA0423">
        <w:rPr>
          <w:rFonts w:ascii="Arial" w:hAnsi="Arial" w:cs="Arial"/>
          <w:color w:val="000000"/>
          <w:szCs w:val="24"/>
        </w:rPr>
        <w:t xml:space="preserve">, 2018). While every nation and industrial sectors show qualities to some degree with various methods for getting things done, there are likenesses of methodology among a considerable lot of the intra-segment, nations and districts to underscore (Bartlett, 2018; </w:t>
      </w:r>
      <w:proofErr w:type="spellStart"/>
      <w:r w:rsidRPr="00FA0423">
        <w:rPr>
          <w:rFonts w:ascii="Arial" w:hAnsi="Arial" w:cs="Arial"/>
          <w:color w:val="000000"/>
          <w:szCs w:val="24"/>
        </w:rPr>
        <w:t>Carr</w:t>
      </w:r>
      <w:proofErr w:type="spellEnd"/>
      <w:r w:rsidRPr="00FA0423">
        <w:rPr>
          <w:rFonts w:ascii="Arial" w:hAnsi="Arial" w:cs="Arial"/>
          <w:color w:val="000000"/>
          <w:szCs w:val="24"/>
        </w:rPr>
        <w:t xml:space="preserve"> and </w:t>
      </w:r>
      <w:proofErr w:type="spellStart"/>
      <w:r w:rsidRPr="00FA0423">
        <w:rPr>
          <w:rFonts w:ascii="Arial" w:hAnsi="Arial" w:cs="Arial"/>
          <w:color w:val="000000"/>
          <w:szCs w:val="24"/>
        </w:rPr>
        <w:t>Tanczer</w:t>
      </w:r>
      <w:proofErr w:type="spellEnd"/>
      <w:r w:rsidRPr="00FA0423">
        <w:rPr>
          <w:rFonts w:ascii="Arial" w:hAnsi="Arial" w:cs="Arial"/>
          <w:color w:val="000000"/>
          <w:szCs w:val="24"/>
        </w:rPr>
        <w:t xml:space="preserve">, 2018; Cheung, 2018; Huang and Li, 2018; Griffith, 2018; </w:t>
      </w:r>
      <w:proofErr w:type="spellStart"/>
      <w:r w:rsidRPr="00FA0423">
        <w:rPr>
          <w:rFonts w:ascii="Arial" w:hAnsi="Arial" w:cs="Arial"/>
          <w:color w:val="000000"/>
          <w:szCs w:val="24"/>
        </w:rPr>
        <w:t>Timmers</w:t>
      </w:r>
      <w:proofErr w:type="spellEnd"/>
      <w:r w:rsidRPr="00FA0423">
        <w:rPr>
          <w:rFonts w:ascii="Arial" w:hAnsi="Arial" w:cs="Arial"/>
          <w:color w:val="000000"/>
          <w:szCs w:val="24"/>
        </w:rPr>
        <w:t>, 2018).</w:t>
      </w:r>
    </w:p>
    <w:p w14:paraId="5218E08E" w14:textId="48F29799" w:rsidR="000335C5" w:rsidRPr="00FA0423" w:rsidRDefault="00B028DB" w:rsidP="006F3A6B">
      <w:pPr>
        <w:spacing w:line="480" w:lineRule="auto"/>
        <w:ind w:firstLine="576"/>
        <w:jc w:val="both"/>
        <w:rPr>
          <w:rFonts w:ascii="Arial" w:hAnsi="Arial" w:cs="Arial"/>
          <w:color w:val="000000"/>
          <w:szCs w:val="24"/>
        </w:rPr>
      </w:pPr>
      <w:r w:rsidRPr="00FA0423">
        <w:rPr>
          <w:rFonts w:ascii="Arial" w:hAnsi="Arial" w:cs="Arial"/>
          <w:color w:val="000000"/>
          <w:szCs w:val="24"/>
        </w:rPr>
        <w:t>Nonetheless, suffices are aptitudes deficiencies and endemic</w:t>
      </w:r>
      <w:r w:rsidR="00043CF5" w:rsidRPr="00FA0423">
        <w:rPr>
          <w:rFonts w:ascii="Arial" w:hAnsi="Arial" w:cs="Arial"/>
          <w:color w:val="000000"/>
          <w:szCs w:val="24"/>
        </w:rPr>
        <w:t xml:space="preserve"> </w:t>
      </w:r>
      <w:r w:rsidRPr="00FA0423">
        <w:rPr>
          <w:rFonts w:ascii="Arial" w:hAnsi="Arial" w:cs="Arial"/>
          <w:color w:val="000000"/>
          <w:szCs w:val="24"/>
        </w:rPr>
        <w:t>digital instability. Its exceptionally associated divisions and social orders underlined inside the extent of the examination.</w:t>
      </w:r>
      <w:r w:rsidR="00BB49EF" w:rsidRPr="00FA0423">
        <w:rPr>
          <w:rFonts w:ascii="Arial" w:hAnsi="Arial" w:cs="Arial"/>
          <w:color w:val="000000"/>
          <w:szCs w:val="24"/>
        </w:rPr>
        <w:t xml:space="preserve"> </w:t>
      </w:r>
      <w:r w:rsidRPr="00FA0423">
        <w:rPr>
          <w:rFonts w:ascii="Arial" w:hAnsi="Arial" w:cs="Arial"/>
          <w:color w:val="000000"/>
          <w:szCs w:val="24"/>
        </w:rPr>
        <w:t xml:space="preserve">A primary focus of this research will concentrate on the issues developing in cyber policy, including the exploration of the relationship </w:t>
      </w:r>
      <w:r w:rsidRPr="00FA0423">
        <w:rPr>
          <w:rFonts w:ascii="Arial" w:hAnsi="Arial" w:cs="Arial"/>
          <w:color w:val="000000"/>
          <w:szCs w:val="24"/>
        </w:rPr>
        <w:lastRenderedPageBreak/>
        <w:t>that exists between ITG and the problems that arise with MSGS for decision-makers.</w:t>
      </w:r>
      <w:r w:rsidR="00FC687B" w:rsidRPr="00FA0423">
        <w:rPr>
          <w:rFonts w:ascii="Arial" w:hAnsi="Arial" w:cs="Arial"/>
          <w:color w:val="000000"/>
          <w:szCs w:val="24"/>
        </w:rPr>
        <w:t xml:space="preserve"> </w:t>
      </w:r>
      <w:r w:rsidR="000335C5" w:rsidRPr="00FA0423">
        <w:rPr>
          <w:rFonts w:ascii="Arial" w:hAnsi="Arial" w:cs="Arial"/>
          <w:color w:val="000000"/>
          <w:szCs w:val="24"/>
        </w:rPr>
        <w:t>Also, to underscore t</w:t>
      </w:r>
      <w:r w:rsidRPr="00FA0423">
        <w:rPr>
          <w:rFonts w:ascii="Arial" w:hAnsi="Arial" w:cs="Arial"/>
          <w:color w:val="000000"/>
          <w:szCs w:val="24"/>
        </w:rPr>
        <w:t>he barriers to enhance decision making by reducing the risk of technical cyber policy failure in the SME Aviation in the UK</w:t>
      </w:r>
      <w:r w:rsidR="004E01A9" w:rsidRPr="00FA0423">
        <w:rPr>
          <w:rFonts w:ascii="Arial" w:hAnsi="Arial" w:cs="Arial"/>
          <w:color w:val="000000"/>
          <w:szCs w:val="24"/>
        </w:rPr>
        <w:t>.</w:t>
      </w:r>
      <w:r w:rsidRPr="00FA0423">
        <w:rPr>
          <w:rFonts w:ascii="Arial" w:hAnsi="Arial" w:cs="Arial"/>
          <w:color w:val="000000"/>
          <w:szCs w:val="24"/>
        </w:rPr>
        <w:t xml:space="preserve"> </w:t>
      </w:r>
    </w:p>
    <w:p w14:paraId="1B5D0BA0" w14:textId="70BD267F" w:rsidR="00B028DB" w:rsidRPr="00FA0423" w:rsidRDefault="008D393F" w:rsidP="007362B3">
      <w:pPr>
        <w:spacing w:line="480" w:lineRule="auto"/>
        <w:ind w:firstLine="576"/>
        <w:jc w:val="both"/>
        <w:rPr>
          <w:rFonts w:ascii="Arial" w:hAnsi="Arial" w:cs="Arial"/>
          <w:color w:val="000000"/>
          <w:szCs w:val="24"/>
        </w:rPr>
      </w:pPr>
      <w:r w:rsidRPr="00FA0423">
        <w:rPr>
          <w:rFonts w:ascii="Arial" w:hAnsi="Arial" w:cs="Arial"/>
          <w:color w:val="000000"/>
          <w:szCs w:val="24"/>
        </w:rPr>
        <w:t xml:space="preserve">There are </w:t>
      </w:r>
      <w:r w:rsidR="00B028DB" w:rsidRPr="00FA0423">
        <w:rPr>
          <w:rFonts w:ascii="Arial" w:hAnsi="Arial" w:cs="Arial"/>
          <w:color w:val="000000"/>
          <w:szCs w:val="24"/>
        </w:rPr>
        <w:t>training</w:t>
      </w:r>
      <w:r w:rsidR="00FA0423" w:rsidRPr="00FA0423">
        <w:rPr>
          <w:rFonts w:ascii="Arial" w:hAnsi="Arial" w:cs="Arial"/>
          <w:color w:val="000000"/>
          <w:szCs w:val="24"/>
        </w:rPr>
        <w:t>s</w:t>
      </w:r>
      <w:r w:rsidR="00B028DB" w:rsidRPr="00FA0423">
        <w:rPr>
          <w:rFonts w:ascii="Arial" w:hAnsi="Arial" w:cs="Arial"/>
          <w:color w:val="000000"/>
          <w:szCs w:val="24"/>
        </w:rPr>
        <w:t xml:space="preserve"> </w:t>
      </w:r>
      <w:r w:rsidR="00590193" w:rsidRPr="00FA0423">
        <w:rPr>
          <w:rFonts w:ascii="Arial" w:hAnsi="Arial" w:cs="Arial"/>
          <w:color w:val="000000"/>
          <w:szCs w:val="24"/>
        </w:rPr>
        <w:t xml:space="preserve">for </w:t>
      </w:r>
      <w:r w:rsidR="00B028DB" w:rsidRPr="00FA0423">
        <w:rPr>
          <w:rFonts w:ascii="Arial" w:hAnsi="Arial" w:cs="Arial"/>
          <w:color w:val="000000"/>
          <w:szCs w:val="24"/>
        </w:rPr>
        <w:t>decision makers to prepare them to implement robust cyber policy</w:t>
      </w:r>
      <w:r w:rsidR="000C0A8F" w:rsidRPr="00FA0423">
        <w:rPr>
          <w:rFonts w:ascii="Arial" w:hAnsi="Arial" w:cs="Arial"/>
          <w:color w:val="000000"/>
          <w:szCs w:val="24"/>
        </w:rPr>
        <w:t xml:space="preserve"> with identifying </w:t>
      </w:r>
      <w:r w:rsidR="00590193" w:rsidRPr="00FA0423">
        <w:rPr>
          <w:rFonts w:ascii="Arial" w:hAnsi="Arial" w:cs="Arial"/>
          <w:color w:val="000000"/>
          <w:szCs w:val="24"/>
        </w:rPr>
        <w:t>t</w:t>
      </w:r>
      <w:r w:rsidR="00B028DB" w:rsidRPr="00FA0423">
        <w:rPr>
          <w:rFonts w:ascii="Arial" w:hAnsi="Arial" w:cs="Arial"/>
          <w:color w:val="000000"/>
          <w:szCs w:val="24"/>
        </w:rPr>
        <w:t>he linkages that exist ITG and MSGS and advice available for practical implementation in the promotion of healthy competitive advantages and secure SME Aviation working environment</w:t>
      </w:r>
      <w:r w:rsidR="000C0A8F" w:rsidRPr="00FA0423">
        <w:rPr>
          <w:rFonts w:ascii="Arial" w:hAnsi="Arial" w:cs="Arial"/>
          <w:color w:val="000000"/>
          <w:szCs w:val="24"/>
        </w:rPr>
        <w:t>.</w:t>
      </w:r>
      <w:r w:rsidR="00B028DB" w:rsidRPr="00FA0423">
        <w:rPr>
          <w:rFonts w:ascii="Arial" w:hAnsi="Arial" w:cs="Arial"/>
          <w:color w:val="000000"/>
          <w:szCs w:val="24"/>
        </w:rPr>
        <w:t xml:space="preserve"> Furthermore, to gain a meaningful picture of the correlation between ITG and MSGS, researchers in the future could build theoretical models and generate potential hypotheses for testing and validation.</w:t>
      </w:r>
    </w:p>
    <w:p w14:paraId="138B4080" w14:textId="64C51D67" w:rsidR="00DD1CF4" w:rsidRPr="00FA0423" w:rsidRDefault="00DD1CF4" w:rsidP="007362B3">
      <w:pPr>
        <w:spacing w:line="480" w:lineRule="auto"/>
        <w:ind w:firstLine="576"/>
        <w:jc w:val="both"/>
        <w:rPr>
          <w:rFonts w:ascii="Arial" w:hAnsi="Arial" w:cs="Arial"/>
          <w:szCs w:val="24"/>
        </w:rPr>
      </w:pPr>
      <w:r w:rsidRPr="00FA0423">
        <w:rPr>
          <w:rFonts w:ascii="Arial" w:hAnsi="Arial" w:cs="Arial"/>
          <w:szCs w:val="24"/>
        </w:rPr>
        <w:t>The cyber policy provides possible exploration on genuine multi-stakeholder’s commitment irrespective of challenges arising from IT/Business alignment (</w:t>
      </w:r>
      <w:proofErr w:type="spellStart"/>
      <w:r w:rsidRPr="00FA0423">
        <w:rPr>
          <w:rFonts w:ascii="Arial" w:hAnsi="Arial" w:cs="Arial"/>
          <w:szCs w:val="24"/>
        </w:rPr>
        <w:t>Banham</w:t>
      </w:r>
      <w:proofErr w:type="spellEnd"/>
      <w:r w:rsidRPr="00FA0423">
        <w:rPr>
          <w:rFonts w:ascii="Arial" w:hAnsi="Arial" w:cs="Arial"/>
          <w:szCs w:val="24"/>
        </w:rPr>
        <w:t xml:space="preserve"> and He, 2010). Mysore </w:t>
      </w:r>
      <w:r w:rsidR="00B50415" w:rsidRPr="00B50415">
        <w:rPr>
          <w:rFonts w:ascii="Arial" w:hAnsi="Arial" w:cs="Arial"/>
          <w:i/>
          <w:iCs/>
          <w:szCs w:val="24"/>
        </w:rPr>
        <w:t>et al</w:t>
      </w:r>
      <w:r w:rsidRPr="00FA0423">
        <w:rPr>
          <w:rFonts w:ascii="Arial" w:hAnsi="Arial" w:cs="Arial"/>
          <w:szCs w:val="24"/>
        </w:rPr>
        <w:t xml:space="preserve">. (2019) presented an argument for the synchronisation of ideas to implement ITG in </w:t>
      </w:r>
      <w:r w:rsidR="00367CE0" w:rsidRPr="00FA0423">
        <w:rPr>
          <w:rFonts w:ascii="Arial" w:hAnsi="Arial" w:cs="Arial"/>
          <w:szCs w:val="24"/>
        </w:rPr>
        <w:t>SMEs</w:t>
      </w:r>
      <w:r w:rsidRPr="00FA0423">
        <w:rPr>
          <w:rFonts w:ascii="Arial" w:hAnsi="Arial" w:cs="Arial"/>
          <w:szCs w:val="24"/>
        </w:rPr>
        <w:t xml:space="preserve"> in contrast to </w:t>
      </w:r>
      <w:proofErr w:type="spellStart"/>
      <w:r w:rsidRPr="00FA0423">
        <w:rPr>
          <w:rFonts w:ascii="Arial" w:hAnsi="Arial" w:cs="Arial"/>
          <w:szCs w:val="24"/>
        </w:rPr>
        <w:t>Flyvbjerg’s</w:t>
      </w:r>
      <w:proofErr w:type="spellEnd"/>
      <w:r w:rsidRPr="00FA0423">
        <w:rPr>
          <w:rFonts w:ascii="Arial" w:hAnsi="Arial" w:cs="Arial"/>
          <w:szCs w:val="24"/>
        </w:rPr>
        <w:t xml:space="preserve"> (2016) proposition of the fragility scaling versus scalability is a preferred concept to apply MSGS. Nonetheless, the pedagogical attempt to theorise scaling could be a notion of interest to cybersecurity as a body of knowledge (</w:t>
      </w:r>
      <w:proofErr w:type="spellStart"/>
      <w:r w:rsidRPr="00FA0423">
        <w:rPr>
          <w:rFonts w:ascii="Arial" w:hAnsi="Arial" w:cs="Arial"/>
          <w:szCs w:val="24"/>
        </w:rPr>
        <w:t>BoK</w:t>
      </w:r>
      <w:proofErr w:type="spellEnd"/>
      <w:r w:rsidRPr="00FA0423">
        <w:rPr>
          <w:rFonts w:ascii="Arial" w:hAnsi="Arial" w:cs="Arial"/>
          <w:szCs w:val="24"/>
        </w:rPr>
        <w:t xml:space="preserve">). Supposedly, such understanding could strengthen the linkages that could exist between cyber strategy and the grand strategy for structures, processes and relational mechanisms (Weber 2018). For instance, the conclusion of Savage and McConnell’s (2015) investigation strengthens the justification for the simplification and refinement of internet governance. In addition to this, the study provides for pedagogic attention to underscore motivation and relevance to similar </w:t>
      </w:r>
      <w:proofErr w:type="spellStart"/>
      <w:r w:rsidRPr="00FA0423">
        <w:rPr>
          <w:rFonts w:ascii="Arial" w:hAnsi="Arial" w:cs="Arial"/>
          <w:szCs w:val="24"/>
        </w:rPr>
        <w:t>BoK</w:t>
      </w:r>
      <w:proofErr w:type="spellEnd"/>
      <w:r w:rsidRPr="00FA0423">
        <w:rPr>
          <w:rFonts w:ascii="Arial" w:hAnsi="Arial" w:cs="Arial"/>
          <w:szCs w:val="24"/>
        </w:rPr>
        <w:t>.</w:t>
      </w:r>
    </w:p>
    <w:p w14:paraId="321D667F" w14:textId="5B32EC17" w:rsidR="00DD1CF4" w:rsidRPr="00FA0423" w:rsidRDefault="00DD1CF4" w:rsidP="007362B3">
      <w:pPr>
        <w:spacing w:line="480" w:lineRule="auto"/>
        <w:ind w:firstLine="576"/>
        <w:jc w:val="both"/>
        <w:rPr>
          <w:rFonts w:ascii="Arial" w:hAnsi="Arial" w:cs="Arial"/>
          <w:szCs w:val="24"/>
        </w:rPr>
      </w:pPr>
      <w:r w:rsidRPr="00FA0423">
        <w:rPr>
          <w:rFonts w:ascii="Arial" w:hAnsi="Arial" w:cs="Arial"/>
          <w:szCs w:val="24"/>
        </w:rPr>
        <w:lastRenderedPageBreak/>
        <w:t xml:space="preserve">Further, Rashid </w:t>
      </w:r>
      <w:r w:rsidR="00B50415" w:rsidRPr="00B50415">
        <w:rPr>
          <w:rFonts w:ascii="Arial" w:hAnsi="Arial" w:cs="Arial"/>
          <w:i/>
          <w:iCs/>
          <w:szCs w:val="24"/>
        </w:rPr>
        <w:t>et al</w:t>
      </w:r>
      <w:r w:rsidRPr="00FA0423">
        <w:rPr>
          <w:rFonts w:ascii="Arial" w:hAnsi="Arial" w:cs="Arial"/>
          <w:szCs w:val="24"/>
        </w:rPr>
        <w:t xml:space="preserve">. (2018) assert that the body of knowledge within the cybersecurity curriculum is an indication that cyber policy is turning into a critical academic component at instructional levels. Such a view underpins the similar conclusion of </w:t>
      </w:r>
      <w:proofErr w:type="spellStart"/>
      <w:r w:rsidRPr="00FA0423">
        <w:rPr>
          <w:rFonts w:ascii="Arial" w:hAnsi="Arial" w:cs="Arial"/>
          <w:szCs w:val="24"/>
        </w:rPr>
        <w:t>Banham</w:t>
      </w:r>
      <w:proofErr w:type="spellEnd"/>
      <w:r w:rsidRPr="00FA0423">
        <w:rPr>
          <w:rFonts w:ascii="Arial" w:hAnsi="Arial" w:cs="Arial"/>
          <w:szCs w:val="24"/>
        </w:rPr>
        <w:t xml:space="preserve"> and He (2010), </w:t>
      </w:r>
      <w:proofErr w:type="spellStart"/>
      <w:r w:rsidRPr="00FA0423">
        <w:rPr>
          <w:rFonts w:ascii="Arial" w:hAnsi="Arial" w:cs="Arial"/>
          <w:szCs w:val="24"/>
        </w:rPr>
        <w:t>Flyvbjerg’s</w:t>
      </w:r>
      <w:proofErr w:type="spellEnd"/>
      <w:r w:rsidRPr="00FA0423">
        <w:rPr>
          <w:rFonts w:ascii="Arial" w:hAnsi="Arial" w:cs="Arial"/>
          <w:szCs w:val="24"/>
        </w:rPr>
        <w:t xml:space="preserve"> (2016), and Mysore </w:t>
      </w:r>
      <w:r w:rsidR="00B50415" w:rsidRPr="00B50415">
        <w:rPr>
          <w:rFonts w:ascii="Arial" w:hAnsi="Arial" w:cs="Arial"/>
          <w:i/>
          <w:iCs/>
          <w:szCs w:val="24"/>
        </w:rPr>
        <w:t>et al</w:t>
      </w:r>
      <w:r w:rsidRPr="00FA0423">
        <w:rPr>
          <w:rFonts w:ascii="Arial" w:hAnsi="Arial" w:cs="Arial"/>
          <w:szCs w:val="24"/>
        </w:rPr>
        <w:t xml:space="preserve">. (2019). However, it could be a subtle point, but mostly, the challenge for scholars and practitioners is to delineate ways of moving through the subject. As practitioners move to agile policymaking, it could be a paradigm shift to a constructivist approach to further research on collaboration between scholars and practitioners in cyber policy development. According to Rashid and colleagues, such scoping of the body of knowledge could pave the way for the centrality of learning cybersecurity. Such adoption, according to </w:t>
      </w:r>
      <w:proofErr w:type="spellStart"/>
      <w:r w:rsidRPr="00FA0423">
        <w:rPr>
          <w:rFonts w:ascii="Arial" w:hAnsi="Arial" w:cs="Arial"/>
          <w:szCs w:val="24"/>
        </w:rPr>
        <w:t>Hallett</w:t>
      </w:r>
      <w:proofErr w:type="spellEnd"/>
      <w:r w:rsidRPr="00FA0423">
        <w:rPr>
          <w:rFonts w:ascii="Arial" w:hAnsi="Arial" w:cs="Arial"/>
          <w:szCs w:val="24"/>
        </w:rPr>
        <w:t xml:space="preserve"> </w:t>
      </w:r>
      <w:r w:rsidR="00B50415" w:rsidRPr="00B50415">
        <w:rPr>
          <w:rFonts w:ascii="Arial" w:hAnsi="Arial" w:cs="Arial"/>
          <w:i/>
          <w:iCs/>
          <w:szCs w:val="24"/>
        </w:rPr>
        <w:t>et al</w:t>
      </w:r>
      <w:r w:rsidRPr="00FA0423">
        <w:rPr>
          <w:rFonts w:ascii="Arial" w:hAnsi="Arial" w:cs="Arial"/>
          <w:szCs w:val="24"/>
        </w:rPr>
        <w:t xml:space="preserve">. (2018), could make the study of cyber policymaking a route for a constructive paradigm </w:t>
      </w:r>
      <w:r w:rsidR="007362B3" w:rsidRPr="00FA0423">
        <w:rPr>
          <w:rFonts w:ascii="Arial" w:hAnsi="Arial" w:cs="Arial"/>
          <w:szCs w:val="24"/>
        </w:rPr>
        <w:t>shift,</w:t>
      </w:r>
      <w:r w:rsidRPr="00FA0423">
        <w:rPr>
          <w:rFonts w:ascii="Arial" w:hAnsi="Arial" w:cs="Arial"/>
          <w:szCs w:val="24"/>
        </w:rPr>
        <w:t xml:space="preserve"> which is an area of study worthy of further research.</w:t>
      </w:r>
    </w:p>
    <w:p w14:paraId="4A919B42" w14:textId="0A13FC66" w:rsidR="00D82BAC" w:rsidRPr="00312389" w:rsidRDefault="0027589B" w:rsidP="00D40EBB">
      <w:pPr>
        <w:pStyle w:val="Heading2"/>
        <w:spacing w:line="480" w:lineRule="auto"/>
        <w:rPr>
          <w:rFonts w:ascii="Arial" w:hAnsi="Arial" w:cs="Arial"/>
        </w:rPr>
      </w:pPr>
      <w:bookmarkStart w:id="7" w:name="_Toc72189371"/>
      <w:r w:rsidRPr="00312389">
        <w:rPr>
          <w:rFonts w:ascii="Arial" w:hAnsi="Arial" w:cs="Arial"/>
        </w:rPr>
        <w:t xml:space="preserve">Research </w:t>
      </w:r>
      <w:r w:rsidR="00DD1CF4" w:rsidRPr="00312389">
        <w:rPr>
          <w:rFonts w:ascii="Arial" w:hAnsi="Arial" w:cs="Arial"/>
        </w:rPr>
        <w:t xml:space="preserve">Aims and </w:t>
      </w:r>
      <w:r w:rsidR="002E234C" w:rsidRPr="00312389">
        <w:rPr>
          <w:rFonts w:ascii="Arial" w:hAnsi="Arial" w:cs="Arial"/>
        </w:rPr>
        <w:t>Objectives</w:t>
      </w:r>
      <w:bookmarkEnd w:id="7"/>
    </w:p>
    <w:p w14:paraId="305DD59E" w14:textId="77777777" w:rsidR="0027589B" w:rsidRPr="00312389" w:rsidRDefault="0027589B" w:rsidP="007362B3">
      <w:pPr>
        <w:spacing w:line="480" w:lineRule="auto"/>
        <w:ind w:firstLine="576"/>
        <w:jc w:val="both"/>
        <w:rPr>
          <w:rFonts w:ascii="Arial" w:hAnsi="Arial" w:cs="Arial"/>
          <w:szCs w:val="24"/>
        </w:rPr>
      </w:pPr>
      <w:r w:rsidRPr="00312389">
        <w:rPr>
          <w:rFonts w:ascii="Arial" w:hAnsi="Arial" w:cs="Arial"/>
          <w:szCs w:val="24"/>
        </w:rPr>
        <w:t xml:space="preserve">The study aims to highlight developing issues and explore the relationship between ITG and MSGS for decision-makers within the UK SME Aviation digital world. The exploration is to advance an understanding of the connection with issues developing in cyber policy. However, to understand the emerging multi-stakeholder approach, it is felt necessary to gain an insight to the relationship that exists between ITG and the problems that arise with MSGS for decision-makers and to explore support for decision makers by reducing the risk of technical cyber policy failure in the SME Aviation in the UK. Given the confusion between those who predict statistical driven ITG models and those who raise some concerns about the implementable cyber policy in SMEs, it is more important to try and clarify MSGS. </w:t>
      </w:r>
    </w:p>
    <w:p w14:paraId="1AD8E970" w14:textId="77777777" w:rsidR="0027589B" w:rsidRPr="00312389" w:rsidRDefault="0027589B" w:rsidP="007362B3">
      <w:pPr>
        <w:spacing w:line="480" w:lineRule="auto"/>
        <w:ind w:firstLine="576"/>
        <w:jc w:val="both"/>
        <w:rPr>
          <w:rFonts w:ascii="Arial" w:hAnsi="Arial" w:cs="Arial"/>
          <w:szCs w:val="24"/>
        </w:rPr>
      </w:pPr>
      <w:r w:rsidRPr="00312389">
        <w:rPr>
          <w:rFonts w:ascii="Arial" w:hAnsi="Arial" w:cs="Arial"/>
          <w:szCs w:val="24"/>
        </w:rPr>
        <w:lastRenderedPageBreak/>
        <w:t xml:space="preserve">Further, this research will explore existing governance guidelines supporting decision makers involved in the development and deployment of implementable cyber policy in SME Aviation. In turn, two primary research vehicles will be exploited to facilitate this understudy: an analytical exploration of secondary data as well as an in-depth review of relevant literature for descriptiveness. The section entitled ‘Research Methods’ contains the details of both the research strategy and the technique for analysing the secondary data.   </w:t>
      </w:r>
    </w:p>
    <w:p w14:paraId="5D377FC2" w14:textId="77777777" w:rsidR="004C5381" w:rsidRDefault="0027589B" w:rsidP="00EA07F7">
      <w:pPr>
        <w:spacing w:line="480" w:lineRule="auto"/>
        <w:ind w:firstLine="360"/>
        <w:jc w:val="both"/>
        <w:rPr>
          <w:rFonts w:ascii="Arial" w:hAnsi="Arial" w:cs="Arial"/>
          <w:szCs w:val="24"/>
        </w:rPr>
      </w:pPr>
      <w:r w:rsidRPr="00312389">
        <w:rPr>
          <w:rFonts w:ascii="Arial" w:hAnsi="Arial" w:cs="Arial"/>
          <w:szCs w:val="24"/>
        </w:rPr>
        <w:t>Specifically, within the context of governance, the objectives of this research are to:</w:t>
      </w:r>
    </w:p>
    <w:p w14:paraId="15622AE6" w14:textId="77777777" w:rsidR="004C5381" w:rsidRPr="004C5381" w:rsidRDefault="00C7530A" w:rsidP="00D40EBB">
      <w:pPr>
        <w:pStyle w:val="ListParagraph"/>
        <w:numPr>
          <w:ilvl w:val="0"/>
          <w:numId w:val="18"/>
        </w:numPr>
        <w:spacing w:line="480" w:lineRule="auto"/>
        <w:jc w:val="both"/>
        <w:rPr>
          <w:rFonts w:ascii="Arial" w:hAnsi="Arial" w:cs="Arial"/>
          <w:color w:val="000000"/>
          <w:szCs w:val="24"/>
        </w:rPr>
      </w:pPr>
      <w:r w:rsidRPr="004C5381">
        <w:rPr>
          <w:rFonts w:ascii="Arial" w:hAnsi="Arial" w:cs="Arial"/>
          <w:color w:val="000000"/>
          <w:szCs w:val="24"/>
        </w:rPr>
        <w:t>Study Objective 1: Analyse the linkages between ITG and MSGS to the implementation of a cyber policy</w:t>
      </w:r>
    </w:p>
    <w:p w14:paraId="2C202879" w14:textId="77777777" w:rsidR="004C5381" w:rsidRPr="004C5381" w:rsidRDefault="00C7530A" w:rsidP="00D40EBB">
      <w:pPr>
        <w:pStyle w:val="ListParagraph"/>
        <w:numPr>
          <w:ilvl w:val="0"/>
          <w:numId w:val="18"/>
        </w:numPr>
        <w:spacing w:line="480" w:lineRule="auto"/>
        <w:jc w:val="both"/>
        <w:rPr>
          <w:rFonts w:ascii="Arial" w:hAnsi="Arial" w:cs="Arial"/>
          <w:color w:val="000000"/>
          <w:szCs w:val="24"/>
        </w:rPr>
      </w:pPr>
      <w:r w:rsidRPr="004C5381">
        <w:rPr>
          <w:rFonts w:ascii="Arial" w:hAnsi="Arial" w:cs="Arial"/>
          <w:color w:val="000000"/>
          <w:szCs w:val="24"/>
        </w:rPr>
        <w:t>Study Objective 2: Explore scaling and scalability mechanisms related to decision making strategy tools</w:t>
      </w:r>
    </w:p>
    <w:p w14:paraId="185858FC" w14:textId="77777777" w:rsidR="004C5381" w:rsidRPr="004C5381" w:rsidRDefault="00C7530A" w:rsidP="00D40EBB">
      <w:pPr>
        <w:pStyle w:val="ListParagraph"/>
        <w:numPr>
          <w:ilvl w:val="0"/>
          <w:numId w:val="18"/>
        </w:numPr>
        <w:spacing w:line="480" w:lineRule="auto"/>
        <w:jc w:val="both"/>
        <w:rPr>
          <w:rFonts w:ascii="Arial" w:hAnsi="Arial" w:cs="Arial"/>
          <w:color w:val="000000"/>
          <w:szCs w:val="24"/>
        </w:rPr>
      </w:pPr>
      <w:r w:rsidRPr="004C5381">
        <w:rPr>
          <w:rFonts w:ascii="Arial" w:hAnsi="Arial" w:cs="Arial"/>
          <w:color w:val="000000"/>
          <w:szCs w:val="24"/>
        </w:rPr>
        <w:t>Study Objective 3: Investigate how the vulnerability of ITG models and MSGS correlate to supporting decision makers</w:t>
      </w:r>
    </w:p>
    <w:p w14:paraId="203D163C" w14:textId="77777777" w:rsidR="004C5381" w:rsidRPr="004C5381" w:rsidRDefault="00C7530A" w:rsidP="00D40EBB">
      <w:pPr>
        <w:pStyle w:val="ListParagraph"/>
        <w:numPr>
          <w:ilvl w:val="0"/>
          <w:numId w:val="18"/>
        </w:numPr>
        <w:spacing w:line="480" w:lineRule="auto"/>
        <w:jc w:val="both"/>
        <w:rPr>
          <w:rFonts w:ascii="Arial" w:hAnsi="Arial" w:cs="Arial"/>
          <w:color w:val="000000"/>
          <w:szCs w:val="24"/>
        </w:rPr>
      </w:pPr>
      <w:r w:rsidRPr="004C5381">
        <w:rPr>
          <w:rFonts w:ascii="Arial" w:hAnsi="Arial" w:cs="Arial"/>
          <w:color w:val="000000"/>
          <w:szCs w:val="24"/>
        </w:rPr>
        <w:t>Study Objective 4: Theorise scaling as a security strategy in coping with ITG implementation.</w:t>
      </w:r>
    </w:p>
    <w:p w14:paraId="3ABE5138" w14:textId="77777777" w:rsidR="004C5381" w:rsidRPr="004C5381" w:rsidRDefault="00C7530A" w:rsidP="00D40EBB">
      <w:pPr>
        <w:pStyle w:val="ListParagraph"/>
        <w:numPr>
          <w:ilvl w:val="0"/>
          <w:numId w:val="18"/>
        </w:numPr>
        <w:spacing w:line="480" w:lineRule="auto"/>
        <w:jc w:val="both"/>
        <w:rPr>
          <w:rFonts w:ascii="Arial" w:hAnsi="Arial" w:cs="Arial"/>
          <w:color w:val="000000"/>
          <w:szCs w:val="24"/>
        </w:rPr>
      </w:pPr>
      <w:r w:rsidRPr="004C5381">
        <w:rPr>
          <w:rFonts w:ascii="Arial" w:hAnsi="Arial" w:cs="Arial"/>
          <w:color w:val="000000"/>
          <w:szCs w:val="24"/>
        </w:rPr>
        <w:t>Study Objective 5: Discuss the decision-making scalability mechanism to the successful implementation of ITG within SME Aviation.</w:t>
      </w:r>
    </w:p>
    <w:p w14:paraId="56C2E8BB" w14:textId="7A3ABF00" w:rsidR="00C7530A" w:rsidRPr="004C5381" w:rsidRDefault="00C7530A" w:rsidP="00D40EBB">
      <w:pPr>
        <w:pStyle w:val="ListParagraph"/>
        <w:numPr>
          <w:ilvl w:val="0"/>
          <w:numId w:val="18"/>
        </w:numPr>
        <w:spacing w:line="480" w:lineRule="auto"/>
        <w:jc w:val="both"/>
        <w:rPr>
          <w:rFonts w:ascii="Arial" w:hAnsi="Arial" w:cs="Arial"/>
          <w:szCs w:val="24"/>
        </w:rPr>
      </w:pPr>
      <w:r w:rsidRPr="004C5381">
        <w:rPr>
          <w:rFonts w:ascii="Arial" w:hAnsi="Arial" w:cs="Arial"/>
          <w:color w:val="000000"/>
          <w:szCs w:val="24"/>
        </w:rPr>
        <w:t>Study Objective 6: Formulate recommendations on cyber policy implementation</w:t>
      </w:r>
    </w:p>
    <w:p w14:paraId="4CE57009" w14:textId="5D4D366A" w:rsidR="0027589B" w:rsidRPr="00312389" w:rsidRDefault="0027589B" w:rsidP="00EA07F7">
      <w:pPr>
        <w:spacing w:line="480" w:lineRule="auto"/>
        <w:ind w:firstLine="360"/>
        <w:jc w:val="both"/>
        <w:rPr>
          <w:rFonts w:ascii="Arial" w:hAnsi="Arial" w:cs="Arial"/>
          <w:szCs w:val="24"/>
        </w:rPr>
      </w:pPr>
      <w:r w:rsidRPr="00312389">
        <w:rPr>
          <w:rFonts w:ascii="Arial" w:hAnsi="Arial" w:cs="Arial"/>
          <w:szCs w:val="24"/>
        </w:rPr>
        <w:t xml:space="preserve">At the risk of misrepresentation of the reason and estimation of every one of the above goals, objectives 1, 2 and 4 focus on the analytical accentuation of the emerging relationship that exists between ITG and MSGS with the primary </w:t>
      </w:r>
      <w:r w:rsidRPr="00312389">
        <w:rPr>
          <w:rFonts w:ascii="Arial" w:hAnsi="Arial" w:cs="Arial"/>
          <w:szCs w:val="24"/>
        </w:rPr>
        <w:lastRenderedPageBreak/>
        <w:t xml:space="preserve">discourse on strategic tools for theorising scaling as an ITG security pathway for cyber policy decision makers. Objectives 3, 5 and 6 focus on the governance correlative element of ITG and MSGS, where this understudy will make critical contributions to the field of governance. It would be an error for the reader to see every one of the expressed research objectives as independent, unrelated academic exercises. </w:t>
      </w:r>
    </w:p>
    <w:p w14:paraId="1907E968" w14:textId="048E9625" w:rsidR="0027589B" w:rsidRPr="00312389" w:rsidRDefault="0027589B" w:rsidP="00EA07F7">
      <w:pPr>
        <w:spacing w:line="480" w:lineRule="auto"/>
        <w:ind w:firstLine="360"/>
        <w:jc w:val="both"/>
        <w:rPr>
          <w:rFonts w:ascii="Arial" w:hAnsi="Arial" w:cs="Arial"/>
          <w:szCs w:val="24"/>
        </w:rPr>
      </w:pPr>
      <w:r w:rsidRPr="00312389">
        <w:rPr>
          <w:rFonts w:ascii="Arial" w:hAnsi="Arial" w:cs="Arial"/>
          <w:szCs w:val="24"/>
        </w:rPr>
        <w:t>The listed objectives are necessarily interlinked and add values. The first objective – linkages between ITG and MSGS - will cover the definitive strategic stakeholders’ elements that make ITG implementable as well as the scaling relevant to the existing ITG support; each of which will be relevance to SME Aviation preparing for governance. For example, it will</w:t>
      </w:r>
      <w:r w:rsidRPr="00312389">
        <w:rPr>
          <w:rFonts w:ascii="Arial" w:hAnsi="Arial" w:cs="Arial"/>
          <w:color w:val="FF0000"/>
          <w:szCs w:val="24"/>
        </w:rPr>
        <w:t xml:space="preserve"> </w:t>
      </w:r>
      <w:r w:rsidRPr="00312389">
        <w:rPr>
          <w:rFonts w:ascii="Arial" w:hAnsi="Arial" w:cs="Arial"/>
          <w:szCs w:val="24"/>
        </w:rPr>
        <w:t xml:space="preserve">attempt to answer the question ‘are there linkages within the elements of ITG pushing SME Aviation towards management and if so, what are they?’ An example of such a coupling could be perceived as being cost-effective and timesaving in implementation, which, if the case, may catalyse ITG alignment with other business elements for governance furtherance. Objective 2 – on structured approaches will explore scholar and practitioner discourse on scaling versus scalability; in alignment with the answer from </w:t>
      </w:r>
      <w:r w:rsidR="00F51111">
        <w:rPr>
          <w:rFonts w:ascii="Arial" w:hAnsi="Arial" w:cs="Arial"/>
          <w:szCs w:val="24"/>
        </w:rPr>
        <w:t xml:space="preserve">objectives </w:t>
      </w:r>
      <w:r w:rsidRPr="00312389">
        <w:rPr>
          <w:rFonts w:ascii="Arial" w:hAnsi="Arial" w:cs="Arial"/>
          <w:szCs w:val="24"/>
        </w:rPr>
        <w:t xml:space="preserve">1 and 4, will support decision makers in developing the cyber policy and make recommendation towards an efficient implementation. Objective 3 will investigate how existing vulnerabilities of ITG model and MSGS relate — for example, comparing ITG frameworks, which may yield the top performing standard in pricing? Such an answer will provide an opportunity for decision-makers to gain meaningful insight into the views of why some ITG elements remain undoable in SMEs regarding pricing strategy. </w:t>
      </w:r>
      <w:r w:rsidR="00E13862">
        <w:rPr>
          <w:rFonts w:ascii="Arial" w:hAnsi="Arial" w:cs="Arial"/>
          <w:szCs w:val="24"/>
        </w:rPr>
        <w:t>Objective</w:t>
      </w:r>
      <w:r w:rsidRPr="00312389">
        <w:rPr>
          <w:rFonts w:ascii="Arial" w:hAnsi="Arial" w:cs="Arial"/>
          <w:szCs w:val="24"/>
        </w:rPr>
        <w:t xml:space="preserve"> 5 will concentrate on a new approach that could emerge due to the multi-stakeholder’s synergy in formulating </w:t>
      </w:r>
      <w:r w:rsidRPr="00312389">
        <w:rPr>
          <w:rFonts w:ascii="Arial" w:hAnsi="Arial" w:cs="Arial"/>
          <w:szCs w:val="24"/>
        </w:rPr>
        <w:lastRenderedPageBreak/>
        <w:t>implementable cyber policy to impact existing governance for SME Aviation consideration. Objective 6 will focus on an attempt to formulate recommendations as a result of the review of the literature and the exploration of secondary data in use. The objectives are not to be autonomous of one another, instead, as all connected to issues encompassing ITG and MSGS in SME Aviation.</w:t>
      </w:r>
    </w:p>
    <w:p w14:paraId="25BA1B78" w14:textId="0754F933" w:rsidR="002E234C" w:rsidRPr="00312389" w:rsidRDefault="00D82BAC" w:rsidP="00D40EBB">
      <w:pPr>
        <w:pStyle w:val="Heading2"/>
        <w:spacing w:line="480" w:lineRule="auto"/>
        <w:rPr>
          <w:rFonts w:ascii="Arial" w:hAnsi="Arial" w:cs="Arial"/>
        </w:rPr>
      </w:pPr>
      <w:bookmarkStart w:id="8" w:name="_Toc72189372"/>
      <w:r w:rsidRPr="00312389">
        <w:rPr>
          <w:rFonts w:ascii="Arial" w:hAnsi="Arial" w:cs="Arial"/>
        </w:rPr>
        <w:t>Work Done</w:t>
      </w:r>
      <w:bookmarkEnd w:id="8"/>
    </w:p>
    <w:p w14:paraId="40C9EB6E" w14:textId="492B6CBF" w:rsidR="0027589B" w:rsidRPr="00312389" w:rsidRDefault="0027589B" w:rsidP="00E13862">
      <w:pPr>
        <w:spacing w:after="0" w:line="480" w:lineRule="auto"/>
        <w:ind w:firstLine="360"/>
        <w:jc w:val="both"/>
        <w:rPr>
          <w:rFonts w:ascii="Arial" w:eastAsia="Times New Roman" w:hAnsi="Arial" w:cs="Arial"/>
          <w:color w:val="1C1E29"/>
          <w:szCs w:val="24"/>
          <w:lang w:eastAsia="en-GB"/>
        </w:rPr>
      </w:pPr>
      <w:r w:rsidRPr="00312389">
        <w:rPr>
          <w:rFonts w:ascii="Arial" w:eastAsia="Times New Roman" w:hAnsi="Arial" w:cs="Arial"/>
          <w:color w:val="1C1E29"/>
          <w:szCs w:val="24"/>
          <w:lang w:eastAsia="en-GB"/>
        </w:rPr>
        <w:t>The approach to this study primarily consists of literature research, a matter of UK’s SME Aviation and benchmarking in research. The researcher consistently followed on the project plan (</w:t>
      </w:r>
      <w:r w:rsidR="009D1555" w:rsidRPr="00312389">
        <w:rPr>
          <w:rFonts w:ascii="Arial" w:eastAsia="Times New Roman" w:hAnsi="Arial" w:cs="Arial"/>
          <w:color w:val="1C1E29"/>
          <w:szCs w:val="24"/>
          <w:lang w:eastAsia="en-GB"/>
        </w:rPr>
        <w:t>Figure 1.0</w:t>
      </w:r>
      <w:r w:rsidRPr="00312389">
        <w:rPr>
          <w:rFonts w:ascii="Arial" w:eastAsia="Times New Roman" w:hAnsi="Arial" w:cs="Arial"/>
          <w:color w:val="1C1E29"/>
          <w:szCs w:val="24"/>
          <w:lang w:eastAsia="en-GB"/>
        </w:rPr>
        <w:t xml:space="preserve">) in the research proposal (Appendix </w:t>
      </w:r>
      <w:r w:rsidR="001D789C" w:rsidRPr="00312389">
        <w:rPr>
          <w:rFonts w:ascii="Arial" w:eastAsia="Times New Roman" w:hAnsi="Arial" w:cs="Arial"/>
          <w:color w:val="1C1E29"/>
          <w:szCs w:val="24"/>
          <w:lang w:eastAsia="en-GB"/>
        </w:rPr>
        <w:t>A</w:t>
      </w:r>
      <w:r w:rsidRPr="00312389">
        <w:rPr>
          <w:rFonts w:ascii="Arial" w:eastAsia="Times New Roman" w:hAnsi="Arial" w:cs="Arial"/>
          <w:color w:val="1C1E29"/>
          <w:szCs w:val="24"/>
          <w:lang w:eastAsia="en-GB"/>
        </w:rPr>
        <w:t xml:space="preserve">). The actions completed </w:t>
      </w:r>
      <w:r w:rsidR="00DE7945" w:rsidRPr="00312389">
        <w:rPr>
          <w:rFonts w:ascii="Arial" w:eastAsia="Times New Roman" w:hAnsi="Arial" w:cs="Arial"/>
          <w:color w:val="1C1E29"/>
          <w:szCs w:val="24"/>
          <w:lang w:eastAsia="en-GB"/>
        </w:rPr>
        <w:t>were</w:t>
      </w:r>
      <w:r w:rsidRPr="00312389">
        <w:rPr>
          <w:rFonts w:ascii="Arial" w:eastAsia="Times New Roman" w:hAnsi="Arial" w:cs="Arial"/>
          <w:color w:val="1C1E29"/>
          <w:szCs w:val="24"/>
          <w:lang w:eastAsia="en-GB"/>
        </w:rPr>
        <w:t>:</w:t>
      </w:r>
    </w:p>
    <w:p w14:paraId="1D59BED8" w14:textId="77777777" w:rsidR="0027589B" w:rsidRPr="00312389" w:rsidRDefault="0027589B" w:rsidP="00D40EBB">
      <w:pPr>
        <w:numPr>
          <w:ilvl w:val="0"/>
          <w:numId w:val="10"/>
        </w:numPr>
        <w:spacing w:after="0" w:line="480" w:lineRule="auto"/>
        <w:jc w:val="both"/>
        <w:rPr>
          <w:rFonts w:ascii="Arial" w:eastAsia="Times New Roman" w:hAnsi="Arial" w:cs="Arial"/>
          <w:color w:val="1C1E29"/>
          <w:szCs w:val="24"/>
          <w:lang w:eastAsia="en-GB"/>
        </w:rPr>
      </w:pPr>
      <w:r w:rsidRPr="00312389">
        <w:rPr>
          <w:rFonts w:ascii="Arial" w:eastAsia="Times New Roman" w:hAnsi="Arial" w:cs="Arial"/>
          <w:color w:val="1C1E29"/>
          <w:szCs w:val="24"/>
          <w:lang w:eastAsia="en-GB"/>
        </w:rPr>
        <w:t>A survey of the expert and scholarly writing spread over 20 to 50 sources </w:t>
      </w:r>
    </w:p>
    <w:p w14:paraId="16FB1CD1" w14:textId="77777777" w:rsidR="0027589B" w:rsidRPr="00312389" w:rsidRDefault="0027589B" w:rsidP="00D40EBB">
      <w:pPr>
        <w:numPr>
          <w:ilvl w:val="0"/>
          <w:numId w:val="10"/>
        </w:numPr>
        <w:spacing w:after="0" w:line="480" w:lineRule="auto"/>
        <w:jc w:val="both"/>
        <w:rPr>
          <w:rFonts w:ascii="Arial" w:eastAsia="Times New Roman" w:hAnsi="Arial" w:cs="Arial"/>
          <w:color w:val="1C1E29"/>
          <w:szCs w:val="24"/>
          <w:lang w:eastAsia="en-GB"/>
        </w:rPr>
      </w:pPr>
      <w:r w:rsidRPr="00312389">
        <w:rPr>
          <w:rFonts w:ascii="Arial" w:eastAsia="Times New Roman" w:hAnsi="Arial" w:cs="Arial"/>
          <w:color w:val="1C1E29"/>
          <w:szCs w:val="24"/>
          <w:lang w:eastAsia="en-GB"/>
        </w:rPr>
        <w:t>An investigation of how the vulnerability of ITG models and MSGS correlate to support decision-makers </w:t>
      </w:r>
    </w:p>
    <w:p w14:paraId="3A8D482E" w14:textId="77777777" w:rsidR="0027589B" w:rsidRPr="00312389" w:rsidRDefault="0027589B" w:rsidP="00D40EBB">
      <w:pPr>
        <w:numPr>
          <w:ilvl w:val="0"/>
          <w:numId w:val="10"/>
        </w:numPr>
        <w:spacing w:after="0" w:line="480" w:lineRule="auto"/>
        <w:jc w:val="both"/>
        <w:rPr>
          <w:rFonts w:ascii="Arial" w:eastAsia="Times New Roman" w:hAnsi="Arial" w:cs="Arial"/>
          <w:color w:val="1C1E29"/>
          <w:szCs w:val="24"/>
          <w:lang w:eastAsia="en-GB"/>
        </w:rPr>
      </w:pPr>
      <w:r w:rsidRPr="00312389">
        <w:rPr>
          <w:rFonts w:ascii="Arial" w:eastAsia="Times New Roman" w:hAnsi="Arial" w:cs="Arial"/>
          <w:color w:val="1C1E29"/>
          <w:szCs w:val="24"/>
          <w:lang w:eastAsia="en-GB"/>
        </w:rPr>
        <w:t>An attempt to theorise scaling with the input of the existing ITG frameworks</w:t>
      </w:r>
    </w:p>
    <w:p w14:paraId="5916E6C6" w14:textId="77777777" w:rsidR="0027589B" w:rsidRPr="00312389" w:rsidRDefault="0027589B" w:rsidP="00D40EBB">
      <w:pPr>
        <w:numPr>
          <w:ilvl w:val="0"/>
          <w:numId w:val="10"/>
        </w:numPr>
        <w:spacing w:after="0" w:line="480" w:lineRule="auto"/>
        <w:jc w:val="both"/>
        <w:rPr>
          <w:rFonts w:ascii="Arial" w:eastAsia="Times New Roman" w:hAnsi="Arial" w:cs="Arial"/>
          <w:color w:val="1C1E29"/>
          <w:szCs w:val="24"/>
          <w:lang w:eastAsia="en-GB"/>
        </w:rPr>
      </w:pPr>
      <w:r w:rsidRPr="00312389">
        <w:rPr>
          <w:rFonts w:ascii="Arial" w:eastAsia="Times New Roman" w:hAnsi="Arial" w:cs="Arial"/>
          <w:color w:val="1C1E29"/>
          <w:szCs w:val="24"/>
          <w:lang w:eastAsia="en-GB"/>
        </w:rPr>
        <w:t>With the use of secondary qualitative data, the researcher investigated the relationship between ITG and the MSGS to support Cyber policymaking </w:t>
      </w:r>
    </w:p>
    <w:p w14:paraId="5EA02081" w14:textId="77777777" w:rsidR="0027589B" w:rsidRPr="00312389" w:rsidRDefault="0027589B" w:rsidP="00D40EBB">
      <w:pPr>
        <w:numPr>
          <w:ilvl w:val="0"/>
          <w:numId w:val="10"/>
        </w:numPr>
        <w:spacing w:after="0" w:line="480" w:lineRule="auto"/>
        <w:jc w:val="both"/>
        <w:rPr>
          <w:rFonts w:ascii="Arial" w:eastAsia="Times New Roman" w:hAnsi="Arial" w:cs="Arial"/>
          <w:color w:val="1C1E29"/>
          <w:szCs w:val="24"/>
          <w:lang w:eastAsia="en-GB"/>
        </w:rPr>
      </w:pPr>
      <w:r w:rsidRPr="00312389">
        <w:rPr>
          <w:rFonts w:ascii="Arial" w:eastAsia="Times New Roman" w:hAnsi="Arial" w:cs="Arial"/>
          <w:color w:val="1C1E29"/>
          <w:szCs w:val="24"/>
          <w:lang w:eastAsia="en-GB"/>
        </w:rPr>
        <w:t>Recommendations made for further research</w:t>
      </w:r>
    </w:p>
    <w:p w14:paraId="400BE841" w14:textId="77777777" w:rsidR="0027589B" w:rsidRPr="00312389" w:rsidRDefault="0027589B" w:rsidP="00E13862">
      <w:pPr>
        <w:spacing w:after="0" w:line="480" w:lineRule="auto"/>
        <w:ind w:firstLine="360"/>
        <w:jc w:val="both"/>
        <w:rPr>
          <w:rFonts w:ascii="Arial" w:eastAsia="Times New Roman" w:hAnsi="Arial" w:cs="Arial"/>
          <w:color w:val="1C1E29"/>
          <w:szCs w:val="24"/>
          <w:lang w:eastAsia="en-GB"/>
        </w:rPr>
      </w:pPr>
      <w:r w:rsidRPr="00312389">
        <w:rPr>
          <w:rFonts w:ascii="Arial" w:eastAsia="Times New Roman" w:hAnsi="Arial" w:cs="Arial"/>
          <w:color w:val="1C1E29"/>
          <w:szCs w:val="24"/>
          <w:lang w:eastAsia="en-GB"/>
        </w:rPr>
        <w:t xml:space="preserve">The study plan is to conduct research that entails the correct and most ethical means to achieve the research objectives promptly. The researcher primarily used extensive sources ranging upwards of fifty, including academic journals, articles and reports. Notwithstanding, the approach, the study focused on secondary data. Such a method allows the researcher to concentrate on theorising while connecting with the developing issues in cyber policies implemented within the UK’s SME Aviation. Consequentially, the analysis of previous professional and academic sources sought to contribute to the ITG deliveries. The researcher attempted to find </w:t>
      </w:r>
      <w:r w:rsidRPr="00312389">
        <w:rPr>
          <w:rFonts w:ascii="Arial" w:eastAsia="Times New Roman" w:hAnsi="Arial" w:cs="Arial"/>
          <w:color w:val="1C1E29"/>
          <w:szCs w:val="24"/>
          <w:lang w:eastAsia="en-GB"/>
        </w:rPr>
        <w:lastRenderedPageBreak/>
        <w:t>firm relationships between ITG and MSGS that could be helpful in a presentation and standardising of the process in cyber policymaking. </w:t>
      </w:r>
    </w:p>
    <w:p w14:paraId="64597B1A" w14:textId="5D5C3376" w:rsidR="0027589B" w:rsidRPr="00312389" w:rsidRDefault="0027589B" w:rsidP="00D40EBB">
      <w:pPr>
        <w:pStyle w:val="Heading2"/>
        <w:spacing w:line="480" w:lineRule="auto"/>
        <w:rPr>
          <w:rFonts w:ascii="Arial" w:hAnsi="Arial" w:cs="Arial"/>
        </w:rPr>
      </w:pPr>
      <w:bookmarkStart w:id="9" w:name="_Toc72189373"/>
      <w:r w:rsidRPr="00312389">
        <w:rPr>
          <w:rFonts w:ascii="Arial" w:hAnsi="Arial" w:cs="Arial"/>
        </w:rPr>
        <w:t>Value of this Research</w:t>
      </w:r>
      <w:bookmarkEnd w:id="9"/>
    </w:p>
    <w:p w14:paraId="4FCB3D82" w14:textId="77777777" w:rsidR="0027589B" w:rsidRPr="00312389" w:rsidRDefault="0027589B" w:rsidP="00E13862">
      <w:pPr>
        <w:spacing w:line="480" w:lineRule="auto"/>
        <w:ind w:firstLine="576"/>
        <w:jc w:val="both"/>
        <w:rPr>
          <w:rFonts w:ascii="Arial" w:hAnsi="Arial" w:cs="Arial"/>
          <w:szCs w:val="24"/>
        </w:rPr>
      </w:pPr>
      <w:r w:rsidRPr="00312389">
        <w:rPr>
          <w:rFonts w:ascii="Arial" w:hAnsi="Arial" w:cs="Arial"/>
          <w:szCs w:val="24"/>
        </w:rPr>
        <w:t xml:space="preserve">The understudy will contribute to the development of the discipline of governance in several essential ways. Firstly, by providing an investigation to the linkages that may exist between ITG and MSGS; in a way, accentuating the existing vulnerabilities of ITG models. Secondly, by theorising scaling and scalability to aid further development in cyber policymaking. Thirdly, by exploring scholar and practitioner discourse analytically to support decision-makers in furthering the enrichment of the implementation of cyber policy in SMEs. Finally, by understanding the existing practices in a multi-stakeholder paradigm, a rich picture of ITG and MSGS can emerge, allowing a better understanding of theory and practice of governance; and possibly raise issues for further research.  </w:t>
      </w:r>
    </w:p>
    <w:p w14:paraId="30C6C179" w14:textId="148D881E" w:rsidR="00D82BAC" w:rsidRPr="00312389" w:rsidRDefault="00D82BAC" w:rsidP="00D40EBB">
      <w:pPr>
        <w:pStyle w:val="Heading2"/>
        <w:spacing w:line="480" w:lineRule="auto"/>
        <w:rPr>
          <w:rFonts w:ascii="Arial" w:hAnsi="Arial" w:cs="Arial"/>
        </w:rPr>
      </w:pPr>
      <w:bookmarkStart w:id="10" w:name="_Toc72189374"/>
      <w:r w:rsidRPr="00312389">
        <w:rPr>
          <w:rFonts w:ascii="Arial" w:hAnsi="Arial" w:cs="Arial"/>
        </w:rPr>
        <w:t>Structure of the Report</w:t>
      </w:r>
      <w:bookmarkEnd w:id="10"/>
    </w:p>
    <w:p w14:paraId="11434890" w14:textId="77777777" w:rsidR="00140409" w:rsidRDefault="005F52C9" w:rsidP="00140409">
      <w:pPr>
        <w:spacing w:after="0" w:line="480" w:lineRule="auto"/>
        <w:ind w:firstLine="576"/>
        <w:jc w:val="both"/>
        <w:rPr>
          <w:rFonts w:ascii="Arial" w:eastAsia="Times New Roman" w:hAnsi="Arial" w:cs="Arial"/>
          <w:color w:val="212121"/>
          <w:szCs w:val="24"/>
          <w:shd w:val="clear" w:color="auto" w:fill="FFFFFF"/>
          <w:lang w:eastAsia="en-GB"/>
        </w:rPr>
      </w:pPr>
      <w:r w:rsidRPr="005F52C9">
        <w:rPr>
          <w:rFonts w:ascii="Arial" w:eastAsia="Times New Roman" w:hAnsi="Arial" w:cs="Arial"/>
          <w:color w:val="212121"/>
          <w:szCs w:val="24"/>
          <w:shd w:val="clear" w:color="auto" w:fill="FFFFFF"/>
          <w:lang w:eastAsia="en-GB"/>
        </w:rPr>
        <w:t>Chapter 1 illustrates some perplexity to the implementation of Cyber Policy in the UK's SME Aviation. It accentuates the need for decision-makers to understand the strength such an exploration provides in facilitating strategy and grand strategy for structures, processes, and relational mechanisms. The chapter ends with the focus of the research, justification, aims and objectives, and the values of the study.</w:t>
      </w:r>
    </w:p>
    <w:p w14:paraId="22E34174" w14:textId="77777777" w:rsidR="00140409" w:rsidRDefault="005F52C9" w:rsidP="00140409">
      <w:pPr>
        <w:spacing w:after="0" w:line="480" w:lineRule="auto"/>
        <w:ind w:firstLine="720"/>
        <w:jc w:val="both"/>
        <w:rPr>
          <w:rFonts w:ascii="Arial" w:eastAsia="Times New Roman" w:hAnsi="Arial" w:cs="Arial"/>
          <w:color w:val="212121"/>
          <w:szCs w:val="24"/>
          <w:shd w:val="clear" w:color="auto" w:fill="FFFFFF"/>
          <w:lang w:eastAsia="en-GB"/>
        </w:rPr>
      </w:pPr>
      <w:r w:rsidRPr="005F52C9">
        <w:rPr>
          <w:rFonts w:ascii="Arial" w:eastAsia="Times New Roman" w:hAnsi="Arial" w:cs="Arial"/>
          <w:color w:val="212121"/>
          <w:szCs w:val="24"/>
          <w:lang w:eastAsia="en-GB"/>
        </w:rPr>
        <w:t>Chapter 2 defines the cyber policy, discusses ITG and MSGS. It clarifies the framework for cyber policy, explores impediments to cyber policy implementation, evaluates frameworks and models on cyber policy implementation approach with SME Aviation, and justify the need for secondary data in researching the rising issues.</w:t>
      </w:r>
    </w:p>
    <w:p w14:paraId="62CA13A9" w14:textId="77777777" w:rsidR="00140409" w:rsidRDefault="005F52C9" w:rsidP="00140409">
      <w:pPr>
        <w:spacing w:after="0" w:line="480" w:lineRule="auto"/>
        <w:ind w:firstLine="720"/>
        <w:jc w:val="both"/>
        <w:rPr>
          <w:rFonts w:ascii="Arial" w:eastAsia="Times New Roman" w:hAnsi="Arial" w:cs="Arial"/>
          <w:color w:val="212121"/>
          <w:szCs w:val="24"/>
          <w:shd w:val="clear" w:color="auto" w:fill="FFFFFF"/>
          <w:lang w:eastAsia="en-GB"/>
        </w:rPr>
      </w:pPr>
      <w:r w:rsidRPr="005F52C9">
        <w:rPr>
          <w:rFonts w:ascii="Arial" w:eastAsia="Times New Roman" w:hAnsi="Arial" w:cs="Arial"/>
          <w:color w:val="212121"/>
          <w:szCs w:val="24"/>
          <w:lang w:eastAsia="en-GB"/>
        </w:rPr>
        <w:lastRenderedPageBreak/>
        <w:t>Chapter 3 gives subtleties of the optional information procedure embraced to address the research objectives. The research methods for gathering information for the investigation, the interpretation and the examination of the data received. The section concludes by highlighting the constraints with the choice of secondary data strategy and its usage.</w:t>
      </w:r>
    </w:p>
    <w:p w14:paraId="30CB83A5" w14:textId="77777777" w:rsidR="00140409" w:rsidRDefault="005F52C9" w:rsidP="00140409">
      <w:pPr>
        <w:spacing w:after="0" w:line="480" w:lineRule="auto"/>
        <w:ind w:firstLine="720"/>
        <w:jc w:val="both"/>
        <w:rPr>
          <w:rFonts w:ascii="Arial" w:eastAsia="Times New Roman" w:hAnsi="Arial" w:cs="Arial"/>
          <w:color w:val="212121"/>
          <w:szCs w:val="24"/>
          <w:shd w:val="clear" w:color="auto" w:fill="FFFFFF"/>
          <w:lang w:eastAsia="en-GB"/>
        </w:rPr>
      </w:pPr>
      <w:r w:rsidRPr="005F52C9">
        <w:rPr>
          <w:rFonts w:ascii="Arial" w:eastAsia="Times New Roman" w:hAnsi="Arial" w:cs="Arial"/>
          <w:color w:val="212121"/>
          <w:szCs w:val="24"/>
          <w:lang w:eastAsia="en-GB"/>
        </w:rPr>
        <w:t>Chapter 4 sets out to describe the secondary qualitative data in use, present the outcome of applying principal component analysis (PCA) and link analysis (LA) to reanalyse data and discuss the results compared with the evidence from the literature review.</w:t>
      </w:r>
    </w:p>
    <w:p w14:paraId="538B517B" w14:textId="77777777" w:rsidR="00140409" w:rsidRDefault="005F52C9" w:rsidP="00140409">
      <w:pPr>
        <w:spacing w:after="0" w:line="480" w:lineRule="auto"/>
        <w:ind w:firstLine="720"/>
        <w:jc w:val="both"/>
        <w:rPr>
          <w:rFonts w:ascii="Arial" w:eastAsia="Times New Roman" w:hAnsi="Arial" w:cs="Arial"/>
          <w:color w:val="212121"/>
          <w:szCs w:val="24"/>
          <w:shd w:val="clear" w:color="auto" w:fill="FFFFFF"/>
          <w:lang w:eastAsia="en-GB"/>
        </w:rPr>
      </w:pPr>
      <w:r w:rsidRPr="005F52C9">
        <w:rPr>
          <w:rFonts w:ascii="Arial" w:eastAsia="Times New Roman" w:hAnsi="Arial" w:cs="Arial"/>
          <w:color w:val="212121"/>
          <w:szCs w:val="24"/>
          <w:lang w:eastAsia="en-GB"/>
        </w:rPr>
        <w:t>Chapter 5 revisits the study objectives and summarise the findings of the research work. The researcher uses the section to formulate recommendations to fulfil objective 6, reflect on the research process, and provides guidance on how this study can be progressed, recommendations, suggestions for further research, self-reflection, and offer conclusion based on the findings.</w:t>
      </w:r>
    </w:p>
    <w:p w14:paraId="78F815FF" w14:textId="090D0527" w:rsidR="007D54EF" w:rsidRPr="00140409" w:rsidRDefault="005F52C9" w:rsidP="00140409">
      <w:pPr>
        <w:spacing w:after="0" w:line="480" w:lineRule="auto"/>
        <w:ind w:firstLine="720"/>
        <w:jc w:val="both"/>
        <w:rPr>
          <w:rFonts w:ascii="Arial" w:eastAsia="Times New Roman" w:hAnsi="Arial" w:cs="Arial"/>
          <w:color w:val="212121"/>
          <w:szCs w:val="24"/>
          <w:shd w:val="clear" w:color="auto" w:fill="FFFFFF"/>
          <w:lang w:eastAsia="en-GB"/>
        </w:rPr>
      </w:pPr>
      <w:r w:rsidRPr="005F52C9">
        <w:rPr>
          <w:rFonts w:ascii="Arial" w:eastAsia="Times New Roman" w:hAnsi="Arial" w:cs="Arial"/>
          <w:color w:val="212121"/>
          <w:szCs w:val="24"/>
          <w:shd w:val="clear" w:color="auto" w:fill="FFFFFF"/>
          <w:lang w:eastAsia="en-GB"/>
        </w:rPr>
        <w:t>The following Chapter - issues and survey of related writing will analyse various literature to the goals of this exploration, starting with the definition of cyber policy and research of what is implied by ITG.</w:t>
      </w:r>
      <w:bookmarkStart w:id="11" w:name="_Hlk27129999"/>
      <w:r w:rsidR="007D54EF" w:rsidRPr="00312389">
        <w:rPr>
          <w:rFonts w:ascii="Arial" w:hAnsi="Arial" w:cs="Arial"/>
          <w:szCs w:val="24"/>
        </w:rPr>
        <w:t xml:space="preserve"> </w:t>
      </w:r>
    </w:p>
    <w:bookmarkEnd w:id="11"/>
    <w:p w14:paraId="44CC9EE2" w14:textId="77777777" w:rsidR="007D54EF" w:rsidRPr="00312389" w:rsidRDefault="007D54EF" w:rsidP="00D40EBB">
      <w:pPr>
        <w:spacing w:line="480" w:lineRule="auto"/>
        <w:rPr>
          <w:rFonts w:ascii="Arial" w:hAnsi="Arial" w:cs="Arial"/>
        </w:rPr>
      </w:pPr>
    </w:p>
    <w:p w14:paraId="16CE8767" w14:textId="2873E9DC" w:rsidR="002E234C" w:rsidRPr="00312389" w:rsidRDefault="002E234C" w:rsidP="00D40EBB">
      <w:pPr>
        <w:spacing w:line="480" w:lineRule="auto"/>
        <w:rPr>
          <w:rFonts w:ascii="Arial" w:hAnsi="Arial" w:cs="Arial"/>
        </w:rPr>
      </w:pPr>
      <w:r w:rsidRPr="00312389">
        <w:rPr>
          <w:rFonts w:ascii="Arial" w:hAnsi="Arial" w:cs="Arial"/>
        </w:rPr>
        <w:tab/>
      </w:r>
    </w:p>
    <w:p w14:paraId="61F92CDF" w14:textId="536D0D01" w:rsidR="00252242" w:rsidRPr="00312389" w:rsidRDefault="00252242" w:rsidP="00D40EBB">
      <w:pPr>
        <w:pStyle w:val="Heading1"/>
        <w:spacing w:line="480" w:lineRule="auto"/>
        <w:rPr>
          <w:rFonts w:ascii="Arial" w:hAnsi="Arial" w:cs="Arial"/>
        </w:rPr>
      </w:pPr>
      <w:bookmarkStart w:id="12" w:name="_Toc72189375"/>
      <w:r w:rsidRPr="00312389">
        <w:rPr>
          <w:rFonts w:ascii="Arial" w:hAnsi="Arial" w:cs="Arial"/>
        </w:rPr>
        <w:lastRenderedPageBreak/>
        <w:t>Literature Review</w:t>
      </w:r>
      <w:bookmarkEnd w:id="12"/>
      <w:r w:rsidRPr="00312389">
        <w:rPr>
          <w:rFonts w:ascii="Arial" w:hAnsi="Arial" w:cs="Arial"/>
        </w:rPr>
        <w:t xml:space="preserve"> </w:t>
      </w:r>
    </w:p>
    <w:p w14:paraId="41A5B5AC" w14:textId="77777777" w:rsidR="00584EB3" w:rsidRPr="00312389" w:rsidRDefault="00584EB3" w:rsidP="00140409">
      <w:pPr>
        <w:spacing w:after="248" w:line="480" w:lineRule="auto"/>
        <w:ind w:firstLine="432"/>
        <w:jc w:val="both"/>
        <w:rPr>
          <w:rFonts w:ascii="Arial" w:hAnsi="Arial" w:cs="Arial"/>
          <w:szCs w:val="24"/>
        </w:rPr>
      </w:pPr>
      <w:r w:rsidRPr="00312389">
        <w:rPr>
          <w:rFonts w:ascii="Arial" w:hAnsi="Arial" w:cs="Arial"/>
          <w:szCs w:val="24"/>
        </w:rPr>
        <w:t xml:space="preserve">This chapter defines the term cyber policy, discusses ITG and MSGS (a framework for cyber policy). It clarifies the framework for cyber policy (including major reviews, strategic elements, and benefits of the cyber policymaking to different stakeholders). It explores impediments to cyber policy implementation, evaluates frameworks and models on cyber policy implementation approaches with SME Aviation and justifies the need for secondary data in researching with the rising issues.  </w:t>
      </w:r>
    </w:p>
    <w:p w14:paraId="359AC037" w14:textId="0DC27D09" w:rsidR="002E234C" w:rsidRPr="00312389" w:rsidRDefault="00584EB3" w:rsidP="00D40EBB">
      <w:pPr>
        <w:pStyle w:val="Heading2"/>
        <w:spacing w:line="480" w:lineRule="auto"/>
        <w:rPr>
          <w:rFonts w:ascii="Arial" w:hAnsi="Arial" w:cs="Arial"/>
        </w:rPr>
      </w:pPr>
      <w:bookmarkStart w:id="13" w:name="_Toc72189376"/>
      <w:r w:rsidRPr="00312389">
        <w:rPr>
          <w:rFonts w:ascii="Arial" w:hAnsi="Arial" w:cs="Arial"/>
        </w:rPr>
        <w:t>Introduction</w:t>
      </w:r>
      <w:bookmarkEnd w:id="13"/>
    </w:p>
    <w:p w14:paraId="6B0631C7" w14:textId="063CCF70" w:rsidR="00817E7C" w:rsidRDefault="00584EB3" w:rsidP="00172704">
      <w:pPr>
        <w:spacing w:after="84" w:line="480" w:lineRule="auto"/>
        <w:ind w:right="-14" w:firstLine="360"/>
        <w:jc w:val="both"/>
        <w:rPr>
          <w:rFonts w:ascii="Arial" w:eastAsia="Times New Roman" w:hAnsi="Arial" w:cs="Arial"/>
          <w:color w:val="252936"/>
          <w:szCs w:val="24"/>
        </w:rPr>
      </w:pPr>
      <w:r w:rsidRPr="00312389">
        <w:rPr>
          <w:rFonts w:ascii="Arial" w:eastAsia="Times New Roman" w:hAnsi="Arial" w:cs="Arial"/>
          <w:color w:val="252936"/>
          <w:szCs w:val="24"/>
        </w:rPr>
        <w:t xml:space="preserve">This Literature Review will examine the main issues surrounding the need for cyber policy. The review within the SME Aviation sector will identify </w:t>
      </w:r>
      <w:r w:rsidRPr="00312389">
        <w:rPr>
          <w:rFonts w:ascii="Arial" w:eastAsia="Calibri" w:hAnsi="Arial" w:cs="Arial"/>
          <w:color w:val="252936"/>
          <w:szCs w:val="24"/>
        </w:rPr>
        <w:t>​the links</w:t>
      </w:r>
      <w:r w:rsidRPr="00312389">
        <w:rPr>
          <w:rFonts w:ascii="Arial" w:eastAsia="Times New Roman" w:hAnsi="Arial" w:cs="Arial"/>
          <w:color w:val="252936"/>
          <w:szCs w:val="24"/>
        </w:rPr>
        <w:t xml:space="preserve"> that exist between ITG and MSGS, impediments to the successful implementation of cyber policy, and about ITG and MSGS. The cyber policy remains implementable while obstacles to the effective implementation are identified and tackled. The investigation inside this review of literature centres around objectives 1, 2 and 4 as set out in subsection 1.3 of the introductory chapter. Objective 3 and 5 will be met through the vehicle of secondary data gathering and analysis. while the final purpose – the objective 6 is derived as a result of the findings </w:t>
      </w:r>
      <w:r w:rsidRPr="00312389">
        <w:rPr>
          <w:rFonts w:ascii="Arial" w:eastAsia="Calibri" w:hAnsi="Arial" w:cs="Arial"/>
          <w:color w:val="252936"/>
          <w:szCs w:val="24"/>
        </w:rPr>
        <w:t>​</w:t>
      </w:r>
      <w:r w:rsidRPr="00312389">
        <w:rPr>
          <w:rFonts w:ascii="Arial" w:eastAsia="Times New Roman" w:hAnsi="Arial" w:cs="Arial"/>
          <w:color w:val="252936"/>
          <w:szCs w:val="24"/>
        </w:rPr>
        <w:t xml:space="preserve">from objectives 1, 2, 3, 4 and 5:  </w:t>
      </w:r>
    </w:p>
    <w:p w14:paraId="28D976DD" w14:textId="77777777" w:rsidR="00817E7C" w:rsidRPr="0096177C" w:rsidRDefault="00402EA3" w:rsidP="00D40EBB">
      <w:pPr>
        <w:pStyle w:val="ListParagraph"/>
        <w:numPr>
          <w:ilvl w:val="0"/>
          <w:numId w:val="20"/>
        </w:numPr>
        <w:spacing w:after="84" w:line="480" w:lineRule="auto"/>
        <w:ind w:right="-14"/>
        <w:jc w:val="both"/>
        <w:rPr>
          <w:rFonts w:ascii="Arial" w:hAnsi="Arial" w:cs="Arial"/>
          <w:color w:val="000000"/>
          <w:szCs w:val="24"/>
        </w:rPr>
      </w:pPr>
      <w:r w:rsidRPr="0096177C">
        <w:rPr>
          <w:rFonts w:ascii="Arial" w:hAnsi="Arial" w:cs="Arial"/>
          <w:color w:val="000000"/>
          <w:szCs w:val="24"/>
        </w:rPr>
        <w:t>Analyse the linkages between ITG and MSGS to the implementation of a cyber policy</w:t>
      </w:r>
    </w:p>
    <w:p w14:paraId="291A6721" w14:textId="77777777" w:rsidR="00817E7C" w:rsidRPr="0096177C" w:rsidRDefault="00402EA3" w:rsidP="00D40EBB">
      <w:pPr>
        <w:pStyle w:val="ListParagraph"/>
        <w:numPr>
          <w:ilvl w:val="0"/>
          <w:numId w:val="20"/>
        </w:numPr>
        <w:spacing w:after="84" w:line="480" w:lineRule="auto"/>
        <w:ind w:right="-14"/>
        <w:jc w:val="both"/>
        <w:rPr>
          <w:rFonts w:ascii="Arial" w:hAnsi="Arial" w:cs="Arial"/>
          <w:color w:val="000000"/>
          <w:szCs w:val="24"/>
        </w:rPr>
      </w:pPr>
      <w:r w:rsidRPr="0096177C">
        <w:rPr>
          <w:rFonts w:ascii="Arial" w:hAnsi="Arial" w:cs="Arial"/>
          <w:color w:val="000000"/>
          <w:szCs w:val="24"/>
        </w:rPr>
        <w:t>Explore scaling and scalability mechanisms related to decision making strategy tools</w:t>
      </w:r>
    </w:p>
    <w:p w14:paraId="00E5C74F" w14:textId="77777777" w:rsidR="0096177C" w:rsidRPr="0096177C" w:rsidRDefault="00402EA3" w:rsidP="00D40EBB">
      <w:pPr>
        <w:pStyle w:val="ListParagraph"/>
        <w:numPr>
          <w:ilvl w:val="0"/>
          <w:numId w:val="20"/>
        </w:numPr>
        <w:spacing w:after="84" w:line="480" w:lineRule="auto"/>
        <w:ind w:right="-14"/>
        <w:jc w:val="both"/>
        <w:rPr>
          <w:rFonts w:ascii="Arial" w:hAnsi="Arial" w:cs="Arial"/>
          <w:color w:val="000000"/>
          <w:szCs w:val="24"/>
        </w:rPr>
      </w:pPr>
      <w:r w:rsidRPr="0096177C">
        <w:rPr>
          <w:rFonts w:ascii="Arial" w:hAnsi="Arial" w:cs="Arial"/>
          <w:color w:val="000000"/>
          <w:szCs w:val="24"/>
        </w:rPr>
        <w:lastRenderedPageBreak/>
        <w:t>Investigate how the vulnerability of ITG models and MSGS correlate to supporting decision-makers</w:t>
      </w:r>
    </w:p>
    <w:p w14:paraId="1B18E6ED" w14:textId="77777777" w:rsidR="0096177C" w:rsidRPr="0096177C" w:rsidRDefault="00402EA3" w:rsidP="00D40EBB">
      <w:pPr>
        <w:pStyle w:val="ListParagraph"/>
        <w:numPr>
          <w:ilvl w:val="0"/>
          <w:numId w:val="20"/>
        </w:numPr>
        <w:spacing w:after="84" w:line="480" w:lineRule="auto"/>
        <w:ind w:right="-14"/>
        <w:jc w:val="both"/>
        <w:rPr>
          <w:rFonts w:ascii="Arial" w:hAnsi="Arial" w:cs="Arial"/>
          <w:color w:val="000000"/>
          <w:szCs w:val="24"/>
        </w:rPr>
      </w:pPr>
      <w:r w:rsidRPr="0096177C">
        <w:rPr>
          <w:rFonts w:ascii="Arial" w:hAnsi="Arial" w:cs="Arial"/>
          <w:color w:val="000000"/>
          <w:szCs w:val="24"/>
        </w:rPr>
        <w:t>Theorise scaling as a security strategy in coping with ITG implementation.</w:t>
      </w:r>
    </w:p>
    <w:p w14:paraId="46D151EF" w14:textId="77777777" w:rsidR="0096177C" w:rsidRPr="0096177C" w:rsidRDefault="00402EA3" w:rsidP="00D40EBB">
      <w:pPr>
        <w:pStyle w:val="ListParagraph"/>
        <w:numPr>
          <w:ilvl w:val="0"/>
          <w:numId w:val="20"/>
        </w:numPr>
        <w:spacing w:after="84" w:line="480" w:lineRule="auto"/>
        <w:ind w:right="-14"/>
        <w:jc w:val="both"/>
        <w:rPr>
          <w:rFonts w:ascii="Arial" w:hAnsi="Arial" w:cs="Arial"/>
          <w:color w:val="000000"/>
          <w:szCs w:val="24"/>
        </w:rPr>
      </w:pPr>
      <w:r w:rsidRPr="0096177C">
        <w:rPr>
          <w:rFonts w:ascii="Arial" w:hAnsi="Arial" w:cs="Arial"/>
          <w:color w:val="000000"/>
          <w:szCs w:val="24"/>
        </w:rPr>
        <w:t>Discuss the decision-making scalability mechanism to the successful implementation of ITG within SME Aviation.</w:t>
      </w:r>
    </w:p>
    <w:p w14:paraId="58B5D53B" w14:textId="127A7C25" w:rsidR="00402EA3" w:rsidRPr="005A5780" w:rsidRDefault="00402EA3" w:rsidP="00D40EBB">
      <w:pPr>
        <w:pStyle w:val="ListParagraph"/>
        <w:numPr>
          <w:ilvl w:val="0"/>
          <w:numId w:val="20"/>
        </w:numPr>
        <w:spacing w:after="84" w:line="480" w:lineRule="auto"/>
        <w:ind w:right="-14"/>
        <w:jc w:val="both"/>
        <w:rPr>
          <w:rFonts w:ascii="Arial" w:eastAsia="Times New Roman" w:hAnsi="Arial" w:cs="Arial"/>
          <w:color w:val="252936"/>
          <w:szCs w:val="24"/>
        </w:rPr>
      </w:pPr>
      <w:r w:rsidRPr="0096177C">
        <w:rPr>
          <w:rFonts w:ascii="Arial" w:hAnsi="Arial" w:cs="Arial"/>
          <w:color w:val="000000"/>
          <w:szCs w:val="24"/>
        </w:rPr>
        <w:t>Formulate recommendations on cyber policy implementation challenges in SME Aviation.</w:t>
      </w:r>
    </w:p>
    <w:p w14:paraId="625E0EAB" w14:textId="77777777" w:rsidR="00EF700B" w:rsidRDefault="00584EB3" w:rsidP="00EF700B">
      <w:pPr>
        <w:spacing w:after="84" w:line="480" w:lineRule="auto"/>
        <w:ind w:right="-14" w:firstLine="360"/>
        <w:jc w:val="both"/>
        <w:rPr>
          <w:rFonts w:ascii="Arial" w:eastAsia="Times New Roman" w:hAnsi="Arial" w:cs="Arial"/>
          <w:color w:val="252936"/>
          <w:szCs w:val="24"/>
        </w:rPr>
      </w:pPr>
      <w:r w:rsidRPr="00312389">
        <w:rPr>
          <w:rFonts w:ascii="Arial" w:eastAsia="Times New Roman" w:hAnsi="Arial" w:cs="Arial"/>
          <w:color w:val="252936"/>
          <w:szCs w:val="24"/>
        </w:rPr>
        <w:t>By investigating the above territories of writing, a considerable commitment will be made to this understudy. A cyber policy can always be at an efficacy with the robust implementation of ITG. Analysing the linkages that may exist between ITG and MSGS, together with the benefits of theorising scaling and scalability in such derivation will be evaluated.  Decision making and framework impediments to implementing cyber policy in the SME Aviation when ITG and business policy aligned to entail lack of awareness of global and local threats to cybersecurity, inadequate security infrastructures and the need for more experts involved in decision making, and the need for a new approach to cyber policy implementation for robust competitiveness, similarly examined.</w:t>
      </w:r>
    </w:p>
    <w:p w14:paraId="61D05226" w14:textId="40218E54" w:rsidR="00584EB3" w:rsidRPr="00312389" w:rsidRDefault="00584EB3" w:rsidP="00EF700B">
      <w:pPr>
        <w:spacing w:after="84" w:line="480" w:lineRule="auto"/>
        <w:ind w:right="-14" w:firstLine="360"/>
        <w:jc w:val="both"/>
        <w:rPr>
          <w:rFonts w:ascii="Arial" w:eastAsia="Times New Roman" w:hAnsi="Arial" w:cs="Arial"/>
          <w:color w:val="252936"/>
          <w:szCs w:val="24"/>
        </w:rPr>
      </w:pPr>
      <w:r w:rsidRPr="00312389">
        <w:rPr>
          <w:rFonts w:ascii="Arial" w:eastAsia="Times New Roman" w:hAnsi="Arial" w:cs="Arial"/>
          <w:color w:val="252936"/>
          <w:szCs w:val="24"/>
        </w:rPr>
        <w:t xml:space="preserve">Importantly, there will be an exploration of ITG and MSGS in support of cyber policy in terms of a mix of mature ITG implementations. In effect, the value of studying the literature areas will be to provide a meaningful discussion and analysis of cyber policy process, in a structured way, to facilitate critical scholars and practitioners’ understanding of cyber policy and its impact on governance.  Consequently, a fundamental comprehension of crucial issues will suffice, and the understanding of the reader improved for further research commitment in the field of digital arrangement in SME Aviation.  A reasonable beginning stage is to explore </w:t>
      </w:r>
      <w:r w:rsidRPr="00312389">
        <w:rPr>
          <w:rFonts w:ascii="Arial" w:eastAsia="Times New Roman" w:hAnsi="Arial" w:cs="Arial"/>
          <w:color w:val="252936"/>
          <w:szCs w:val="24"/>
        </w:rPr>
        <w:lastRenderedPageBreak/>
        <w:t xml:space="preserve">what is implied by the term cyber policy considering ITG and MSGS. Additionally, the academic phenomenon of governance seen by many as prominent use of policy will be in exploration to help place in context linkages between ITG and MSGS.  </w:t>
      </w:r>
    </w:p>
    <w:p w14:paraId="1834DD5F" w14:textId="5AFC4F3A" w:rsidR="002E234C" w:rsidRPr="00312389" w:rsidRDefault="00584EB3" w:rsidP="00D40EBB">
      <w:pPr>
        <w:pStyle w:val="Heading2"/>
        <w:spacing w:line="480" w:lineRule="auto"/>
        <w:rPr>
          <w:rFonts w:ascii="Arial" w:hAnsi="Arial" w:cs="Arial"/>
        </w:rPr>
      </w:pPr>
      <w:bookmarkStart w:id="14" w:name="_Toc72189377"/>
      <w:r w:rsidRPr="00312389">
        <w:rPr>
          <w:rFonts w:ascii="Arial" w:hAnsi="Arial" w:cs="Arial"/>
        </w:rPr>
        <w:t>Operational Definition of Cyber Policy</w:t>
      </w:r>
      <w:bookmarkEnd w:id="14"/>
    </w:p>
    <w:p w14:paraId="4AFC42AA" w14:textId="2556771E" w:rsidR="00F36DEF" w:rsidRDefault="00023696" w:rsidP="00F36DEF">
      <w:pPr>
        <w:spacing w:line="480" w:lineRule="auto"/>
        <w:ind w:left="-5" w:firstLine="581"/>
        <w:jc w:val="both"/>
        <w:rPr>
          <w:rFonts w:ascii="Arial" w:hAnsi="Arial" w:cs="Arial"/>
          <w:szCs w:val="24"/>
        </w:rPr>
      </w:pPr>
      <w:r w:rsidRPr="00312389">
        <w:rPr>
          <w:rFonts w:ascii="Arial" w:hAnsi="Arial" w:cs="Arial"/>
          <w:szCs w:val="24"/>
        </w:rPr>
        <w:t xml:space="preserve">Considering the complexity that surrounds the definition of cyber policy, how could the implementation of the right industrial cyber system contribute to the robustness of multi-stakeholder governance approach? Sutton (2017) argues that a scholar and practitioner response to such an inquiry could support the argument for a working definition. Sutton’s proposal would have been more intriguing if it was related to the cybersecurity capabilities of an organisation. </w:t>
      </w:r>
      <w:proofErr w:type="spellStart"/>
      <w:r w:rsidRPr="00312389">
        <w:rPr>
          <w:rFonts w:ascii="Arial" w:hAnsi="Arial" w:cs="Arial"/>
          <w:szCs w:val="24"/>
        </w:rPr>
        <w:t>GreenPope</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(2010) argued that such an approach requires tightly choreographed activities across organisations in diverse locations. The strategy accentuates the responsibilities of Airports Commission, Department of Transport, Ministry of </w:t>
      </w:r>
      <w:proofErr w:type="spellStart"/>
      <w:r w:rsidRPr="00312389">
        <w:rPr>
          <w:rFonts w:ascii="Arial" w:hAnsi="Arial" w:cs="Arial"/>
          <w:szCs w:val="24"/>
        </w:rPr>
        <w:t>Defense</w:t>
      </w:r>
      <w:proofErr w:type="spellEnd"/>
      <w:r w:rsidRPr="00312389">
        <w:rPr>
          <w:rFonts w:ascii="Arial" w:hAnsi="Arial" w:cs="Arial"/>
          <w:szCs w:val="24"/>
        </w:rPr>
        <w:t xml:space="preserve"> (MOD) and other Aviation security organisations; under which the synergy could culminate </w:t>
      </w:r>
      <w:r w:rsidRPr="00312389">
        <w:rPr>
          <w:rFonts w:ascii="Arial" w:eastAsia="Calibri" w:hAnsi="Arial" w:cs="Arial"/>
          <w:szCs w:val="24"/>
        </w:rPr>
        <w:t>​to an ​</w:t>
      </w:r>
      <w:r w:rsidRPr="00312389">
        <w:rPr>
          <w:rFonts w:ascii="Arial" w:hAnsi="Arial" w:cs="Arial"/>
          <w:szCs w:val="24"/>
        </w:rPr>
        <w:t xml:space="preserve">actionable framework. </w:t>
      </w:r>
      <w:proofErr w:type="spellStart"/>
      <w:r w:rsidRPr="00312389">
        <w:rPr>
          <w:rFonts w:ascii="Arial" w:hAnsi="Arial" w:cs="Arial"/>
          <w:szCs w:val="24"/>
        </w:rPr>
        <w:t>GreenPope</w:t>
      </w:r>
      <w:proofErr w:type="spellEnd"/>
      <w:r w:rsidRPr="00312389">
        <w:rPr>
          <w:rFonts w:ascii="Arial" w:hAnsi="Arial" w:cs="Arial"/>
          <w:szCs w:val="24"/>
        </w:rPr>
        <w:t xml:space="preserve"> and colleagues related the process to cybersecurity capacity of an organisation as well as provided a comprehensive input to the implementation of any sufficing cyber policy.</w:t>
      </w:r>
    </w:p>
    <w:p w14:paraId="285DEAD5" w14:textId="77777777" w:rsidR="00F36DEF" w:rsidRDefault="00513429" w:rsidP="00F36DEF">
      <w:pPr>
        <w:spacing w:line="480" w:lineRule="auto"/>
        <w:ind w:left="-5" w:firstLine="581"/>
        <w:jc w:val="both"/>
        <w:rPr>
          <w:rFonts w:ascii="Arial" w:hAnsi="Arial" w:cs="Arial"/>
          <w:szCs w:val="24"/>
        </w:rPr>
      </w:pPr>
      <w:r w:rsidRPr="00783786">
        <w:rPr>
          <w:rFonts w:ascii="Arial" w:hAnsi="Arial" w:cs="Arial"/>
          <w:color w:val="000000"/>
          <w:szCs w:val="24"/>
        </w:rPr>
        <w:t xml:space="preserve">Aggarwal and </w:t>
      </w:r>
      <w:proofErr w:type="spellStart"/>
      <w:r w:rsidRPr="00783786">
        <w:rPr>
          <w:rFonts w:ascii="Arial" w:hAnsi="Arial" w:cs="Arial"/>
          <w:color w:val="000000"/>
          <w:szCs w:val="24"/>
        </w:rPr>
        <w:t>Reddie</w:t>
      </w:r>
      <w:proofErr w:type="spellEnd"/>
      <w:r w:rsidRPr="00783786">
        <w:rPr>
          <w:rFonts w:ascii="Arial" w:hAnsi="Arial" w:cs="Arial"/>
          <w:color w:val="000000"/>
          <w:szCs w:val="24"/>
        </w:rPr>
        <w:t xml:space="preserve"> (2018) evaluate the role of businesses, governments, other critical stakeholders in the emergence of a definition of cyber industrial policy. Aggarwal and </w:t>
      </w:r>
      <w:proofErr w:type="spellStart"/>
      <w:r w:rsidRPr="00783786">
        <w:rPr>
          <w:rFonts w:ascii="Arial" w:hAnsi="Arial" w:cs="Arial"/>
          <w:color w:val="000000"/>
          <w:szCs w:val="24"/>
        </w:rPr>
        <w:t>Reddie</w:t>
      </w:r>
      <w:proofErr w:type="spellEnd"/>
      <w:r w:rsidRPr="00783786">
        <w:rPr>
          <w:rFonts w:ascii="Arial" w:hAnsi="Arial" w:cs="Arial"/>
          <w:color w:val="000000"/>
          <w:szCs w:val="24"/>
        </w:rPr>
        <w:t xml:space="preserve"> corroborated Sender’s (2016) view. There is the emerging escalation of the geopolitical context in cyber policy content of both UK, US, and other world power to strategic competition. The Sender’s, and </w:t>
      </w:r>
      <w:proofErr w:type="spellStart"/>
      <w:r w:rsidRPr="00783786">
        <w:rPr>
          <w:rFonts w:ascii="Arial" w:hAnsi="Arial" w:cs="Arial"/>
          <w:color w:val="000000"/>
          <w:szCs w:val="24"/>
        </w:rPr>
        <w:t>Brantly’s</w:t>
      </w:r>
      <w:proofErr w:type="spellEnd"/>
      <w:r w:rsidRPr="00783786">
        <w:rPr>
          <w:rFonts w:ascii="Arial" w:hAnsi="Arial" w:cs="Arial"/>
          <w:color w:val="000000"/>
          <w:szCs w:val="24"/>
        </w:rPr>
        <w:t xml:space="preserve"> advise the need for relevant theory to conceptualise such definition.</w:t>
      </w:r>
    </w:p>
    <w:p w14:paraId="357E2034" w14:textId="77777777" w:rsidR="00F36DEF" w:rsidRDefault="00513429" w:rsidP="00F36DEF">
      <w:pPr>
        <w:spacing w:line="480" w:lineRule="auto"/>
        <w:ind w:left="-5" w:firstLine="581"/>
        <w:jc w:val="both"/>
        <w:rPr>
          <w:rFonts w:ascii="Arial" w:hAnsi="Arial" w:cs="Arial"/>
          <w:szCs w:val="24"/>
        </w:rPr>
      </w:pPr>
      <w:r w:rsidRPr="00783786">
        <w:rPr>
          <w:rFonts w:ascii="Arial" w:hAnsi="Arial" w:cs="Arial"/>
          <w:color w:val="000000"/>
          <w:szCs w:val="24"/>
        </w:rPr>
        <w:lastRenderedPageBreak/>
        <w:t xml:space="preserve">Matten and Moon (2008) articulate that the conceptual framework is not to overlook the impact of the outcome on the social or the business environment. O’Sullivan (2016) adduces that stakeholders may use the information from such engagement to decide on events to support and what policies to promote. </w:t>
      </w:r>
      <w:proofErr w:type="spellStart"/>
      <w:r w:rsidRPr="00783786">
        <w:rPr>
          <w:rFonts w:ascii="Arial" w:hAnsi="Arial" w:cs="Arial"/>
          <w:color w:val="000000"/>
          <w:szCs w:val="24"/>
        </w:rPr>
        <w:t>Brantly</w:t>
      </w:r>
      <w:proofErr w:type="spellEnd"/>
      <w:r w:rsidRPr="00783786">
        <w:rPr>
          <w:rFonts w:ascii="Arial" w:hAnsi="Arial" w:cs="Arial"/>
          <w:color w:val="000000"/>
          <w:szCs w:val="24"/>
        </w:rPr>
        <w:t xml:space="preserve"> (2019) asserts that “policies and laws developed for rapidly evolving or dynamic business environments often overlook the impact or lack, therefore, complexity on the potential outcomes.” According to this clarification, to define cyber policy with the understanding of ITG frameworks implementation suffices. Robinson (2005) points out that when governance is effective, IT becomes a valued asset, not a cost.</w:t>
      </w:r>
    </w:p>
    <w:p w14:paraId="2B040A1D" w14:textId="722DB7E0" w:rsidR="00B158ED" w:rsidRDefault="00023696" w:rsidP="00DB30CE">
      <w:pPr>
        <w:spacing w:line="480" w:lineRule="auto"/>
        <w:ind w:firstLine="576"/>
        <w:jc w:val="both"/>
        <w:rPr>
          <w:rFonts w:ascii="Arial" w:hAnsi="Arial" w:cs="Arial"/>
          <w:szCs w:val="24"/>
        </w:rPr>
      </w:pPr>
      <w:r w:rsidRPr="00312389">
        <w:rPr>
          <w:rFonts w:ascii="Arial" w:hAnsi="Arial" w:cs="Arial"/>
          <w:szCs w:val="24"/>
        </w:rPr>
        <w:t xml:space="preserve">Notwithstanding, if a cyber-security framework could help to conceptualise definitions appropriately, </w:t>
      </w:r>
      <w:proofErr w:type="spellStart"/>
      <w:r w:rsidRPr="00312389">
        <w:rPr>
          <w:rFonts w:ascii="Arial" w:hAnsi="Arial" w:cs="Arial"/>
          <w:szCs w:val="24"/>
        </w:rPr>
        <w:t>Brantly</w:t>
      </w:r>
      <w:proofErr w:type="spellEnd"/>
      <w:r w:rsidRPr="00312389">
        <w:rPr>
          <w:rFonts w:ascii="Arial" w:hAnsi="Arial" w:cs="Arial"/>
          <w:szCs w:val="24"/>
        </w:rPr>
        <w:t xml:space="preserve"> (2019) alludes to cyber policy implementation as an essential element of IT and business policy alignment. For the stakeholder, such description of a cyber policy could help to advocate for its implementation (Von </w:t>
      </w:r>
      <w:proofErr w:type="spellStart"/>
      <w:r w:rsidRPr="00312389">
        <w:rPr>
          <w:rFonts w:ascii="Arial" w:hAnsi="Arial" w:cs="Arial"/>
          <w:szCs w:val="24"/>
        </w:rPr>
        <w:t>Solms</w:t>
      </w:r>
      <w:proofErr w:type="spellEnd"/>
      <w:r w:rsidRPr="00312389">
        <w:rPr>
          <w:rFonts w:ascii="Arial" w:hAnsi="Arial" w:cs="Arial"/>
          <w:szCs w:val="24"/>
        </w:rPr>
        <w:t xml:space="preserve"> and Van </w:t>
      </w:r>
      <w:proofErr w:type="spellStart"/>
      <w:r w:rsidRPr="00312389">
        <w:rPr>
          <w:rFonts w:ascii="Arial" w:hAnsi="Arial" w:cs="Arial"/>
          <w:szCs w:val="24"/>
        </w:rPr>
        <w:t>Niekerk</w:t>
      </w:r>
      <w:proofErr w:type="spellEnd"/>
      <w:r w:rsidRPr="00312389">
        <w:rPr>
          <w:rFonts w:ascii="Arial" w:hAnsi="Arial" w:cs="Arial"/>
          <w:szCs w:val="24"/>
        </w:rPr>
        <w:t xml:space="preserve">, 2013; </w:t>
      </w:r>
      <w:proofErr w:type="spellStart"/>
      <w:r w:rsidRPr="00312389">
        <w:rPr>
          <w:rFonts w:ascii="Arial" w:hAnsi="Arial" w:cs="Arial"/>
          <w:szCs w:val="24"/>
        </w:rPr>
        <w:t>Brantly</w:t>
      </w:r>
      <w:proofErr w:type="spellEnd"/>
      <w:r w:rsidRPr="00312389">
        <w:rPr>
          <w:rFonts w:ascii="Arial" w:hAnsi="Arial" w:cs="Arial"/>
          <w:szCs w:val="24"/>
        </w:rPr>
        <w:t xml:space="preserve">, 2019; </w:t>
      </w:r>
      <w:proofErr w:type="spellStart"/>
      <w:r w:rsidRPr="00312389">
        <w:rPr>
          <w:rFonts w:ascii="Arial" w:hAnsi="Arial" w:cs="Arial"/>
          <w:szCs w:val="24"/>
        </w:rPr>
        <w:t>Safa</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2016). Furthermore, such conceptual foundation could provide a pathway to solution analysis (Weimer and Vining, 2017). There might be complications in clarifying various dynamism within the use of appropriate theory and environment. For example, in the UK Aviation, the divergent of methods and their applicability to SMEs could become complicated. </w:t>
      </w:r>
    </w:p>
    <w:p w14:paraId="0A7EB341" w14:textId="2F5BDBBD" w:rsidR="00023696" w:rsidRPr="00312389" w:rsidRDefault="00B158ED" w:rsidP="00DB30CE">
      <w:pPr>
        <w:spacing w:line="480" w:lineRule="auto"/>
        <w:ind w:firstLine="576"/>
        <w:jc w:val="both"/>
        <w:rPr>
          <w:rFonts w:ascii="Arial" w:hAnsi="Arial" w:cs="Arial"/>
          <w:szCs w:val="24"/>
        </w:rPr>
      </w:pPr>
      <w:r>
        <w:rPr>
          <w:rFonts w:ascii="Arial" w:hAnsi="Arial" w:cs="Arial"/>
          <w:szCs w:val="24"/>
        </w:rPr>
        <w:t>H</w:t>
      </w:r>
      <w:r w:rsidR="00023696" w:rsidRPr="00312389">
        <w:rPr>
          <w:rFonts w:ascii="Arial" w:hAnsi="Arial" w:cs="Arial"/>
          <w:szCs w:val="24"/>
        </w:rPr>
        <w:t xml:space="preserve">owever, </w:t>
      </w:r>
      <w:proofErr w:type="spellStart"/>
      <w:r w:rsidR="00023696" w:rsidRPr="00312389">
        <w:rPr>
          <w:rFonts w:ascii="Arial" w:hAnsi="Arial" w:cs="Arial"/>
          <w:szCs w:val="24"/>
        </w:rPr>
        <w:t>Brantly’s</w:t>
      </w:r>
      <w:proofErr w:type="spellEnd"/>
      <w:r w:rsidR="00023696" w:rsidRPr="00312389">
        <w:rPr>
          <w:rFonts w:ascii="Arial" w:hAnsi="Arial" w:cs="Arial"/>
          <w:szCs w:val="24"/>
        </w:rPr>
        <w:t xml:space="preserve"> provision of a decisive template to define cyber policy alludes to the Von </w:t>
      </w:r>
      <w:proofErr w:type="spellStart"/>
      <w:r w:rsidR="00023696" w:rsidRPr="00312389">
        <w:rPr>
          <w:rFonts w:ascii="Arial" w:hAnsi="Arial" w:cs="Arial"/>
          <w:szCs w:val="24"/>
        </w:rPr>
        <w:t>Solms</w:t>
      </w:r>
      <w:proofErr w:type="spellEnd"/>
      <w:r w:rsidR="00023696" w:rsidRPr="00312389">
        <w:rPr>
          <w:rFonts w:ascii="Arial" w:hAnsi="Arial" w:cs="Arial"/>
          <w:szCs w:val="24"/>
        </w:rPr>
        <w:t xml:space="preserve"> and Van </w:t>
      </w:r>
      <w:proofErr w:type="spellStart"/>
      <w:r w:rsidR="00023696" w:rsidRPr="00312389">
        <w:rPr>
          <w:rFonts w:ascii="Arial" w:hAnsi="Arial" w:cs="Arial"/>
          <w:szCs w:val="24"/>
        </w:rPr>
        <w:t>Niekerk</w:t>
      </w:r>
      <w:r w:rsidR="00D330ED">
        <w:rPr>
          <w:rFonts w:ascii="Arial" w:hAnsi="Arial" w:cs="Arial"/>
          <w:szCs w:val="24"/>
        </w:rPr>
        <w:t>’s</w:t>
      </w:r>
      <w:proofErr w:type="spellEnd"/>
      <w:r w:rsidR="00D330ED">
        <w:rPr>
          <w:rFonts w:ascii="Arial" w:hAnsi="Arial" w:cs="Arial"/>
          <w:szCs w:val="24"/>
        </w:rPr>
        <w:t xml:space="preserve"> (</w:t>
      </w:r>
      <w:r w:rsidR="00023696" w:rsidRPr="00312389">
        <w:rPr>
          <w:rFonts w:ascii="Arial" w:hAnsi="Arial" w:cs="Arial"/>
          <w:szCs w:val="24"/>
        </w:rPr>
        <w:t>2013</w:t>
      </w:r>
      <w:r w:rsidR="00D330ED">
        <w:rPr>
          <w:rFonts w:ascii="Arial" w:hAnsi="Arial" w:cs="Arial"/>
          <w:szCs w:val="24"/>
        </w:rPr>
        <w:t>)</w:t>
      </w:r>
      <w:r w:rsidR="00023696" w:rsidRPr="00312389">
        <w:rPr>
          <w:rFonts w:ascii="Arial" w:hAnsi="Arial" w:cs="Arial"/>
          <w:szCs w:val="24"/>
        </w:rPr>
        <w:t xml:space="preserve"> definition of cybersecurity; and provides support for Weimer' and Vining' policy solution analysis. The definition centres on the collection of tools, policies, security concepts, security safeguards, guidelines, risk management approaches, actions, training, best practices, assurance, and technologies that can be used to protect the cyber environment, the organisation, and user assets (Ibid.). The view is consistent with the operational </w:t>
      </w:r>
      <w:r w:rsidR="00023696" w:rsidRPr="00312389">
        <w:rPr>
          <w:rFonts w:ascii="Arial" w:hAnsi="Arial" w:cs="Arial"/>
          <w:szCs w:val="24"/>
        </w:rPr>
        <w:lastRenderedPageBreak/>
        <w:t>definition of cyber strategy expressed in the latest Aviation Strategy that captures the centrality and efficacy of the UK as the most significant internet economy in the G20 (</w:t>
      </w:r>
      <w:proofErr w:type="spellStart"/>
      <w:r w:rsidR="00023696" w:rsidRPr="00312389">
        <w:rPr>
          <w:rFonts w:ascii="Arial" w:hAnsi="Arial" w:cs="Arial"/>
          <w:szCs w:val="24"/>
        </w:rPr>
        <w:t>Carr</w:t>
      </w:r>
      <w:proofErr w:type="spellEnd"/>
      <w:r w:rsidR="00023696" w:rsidRPr="00312389">
        <w:rPr>
          <w:rFonts w:ascii="Arial" w:hAnsi="Arial" w:cs="Arial"/>
          <w:szCs w:val="24"/>
        </w:rPr>
        <w:t xml:space="preserve"> and </w:t>
      </w:r>
      <w:proofErr w:type="spellStart"/>
      <w:r w:rsidR="00023696" w:rsidRPr="00312389">
        <w:rPr>
          <w:rFonts w:ascii="Arial" w:hAnsi="Arial" w:cs="Arial"/>
          <w:szCs w:val="24"/>
        </w:rPr>
        <w:t>Tanczer</w:t>
      </w:r>
      <w:proofErr w:type="spellEnd"/>
      <w:r w:rsidR="00023696" w:rsidRPr="00312389">
        <w:rPr>
          <w:rFonts w:ascii="Arial" w:hAnsi="Arial" w:cs="Arial"/>
          <w:szCs w:val="24"/>
        </w:rPr>
        <w:t xml:space="preserve">, 2018). </w:t>
      </w:r>
    </w:p>
    <w:p w14:paraId="6C9C1484" w14:textId="2D741749" w:rsidR="002E234C" w:rsidRPr="00312389" w:rsidRDefault="00023696" w:rsidP="00D40EBB">
      <w:pPr>
        <w:pStyle w:val="Heading2"/>
        <w:spacing w:line="480" w:lineRule="auto"/>
        <w:rPr>
          <w:rFonts w:ascii="Arial" w:hAnsi="Arial" w:cs="Arial"/>
        </w:rPr>
      </w:pPr>
      <w:bookmarkStart w:id="15" w:name="_Toc72189378"/>
      <w:r w:rsidRPr="00312389">
        <w:rPr>
          <w:rFonts w:ascii="Arial" w:hAnsi="Arial" w:cs="Arial"/>
        </w:rPr>
        <w:t>Linkages between ITG and MSGS</w:t>
      </w:r>
      <w:bookmarkEnd w:id="15"/>
      <w:r w:rsidRPr="00312389">
        <w:rPr>
          <w:rFonts w:ascii="Arial" w:hAnsi="Arial" w:cs="Arial"/>
        </w:rPr>
        <w:t xml:space="preserve"> </w:t>
      </w:r>
    </w:p>
    <w:p w14:paraId="3C85F265" w14:textId="77777777" w:rsidR="00256A51" w:rsidRDefault="00023696" w:rsidP="00256A51">
      <w:pPr>
        <w:spacing w:line="480" w:lineRule="auto"/>
        <w:ind w:right="-9" w:firstLine="576"/>
        <w:jc w:val="both"/>
        <w:rPr>
          <w:rFonts w:ascii="Arial" w:hAnsi="Arial" w:cs="Arial"/>
          <w:szCs w:val="24"/>
        </w:rPr>
      </w:pPr>
      <w:r w:rsidRPr="00312389">
        <w:rPr>
          <w:rFonts w:ascii="Arial" w:hAnsi="Arial" w:cs="Arial"/>
          <w:szCs w:val="24"/>
        </w:rPr>
        <w:t>A critical analysis of the literature informed this secondary data research for this qualitative study. The identification of cybersecurity strategies indicates SMEs’ decision-makers implement a protectable cyber policy (OECD, 2012). In 2005, the</w:t>
      </w:r>
      <w:r w:rsidRPr="00312389">
        <w:rPr>
          <w:rFonts w:ascii="Arial" w:hAnsi="Arial" w:cs="Arial"/>
          <w:i/>
          <w:szCs w:val="24"/>
        </w:rPr>
        <w:t xml:space="preserve"> </w:t>
      </w:r>
      <w:r w:rsidRPr="00312389">
        <w:rPr>
          <w:rFonts w:ascii="Arial" w:eastAsia="Calibri" w:hAnsi="Arial" w:cs="Arial"/>
          <w:szCs w:val="24"/>
        </w:rPr>
        <w:t>​</w:t>
      </w:r>
      <w:r w:rsidRPr="00312389">
        <w:rPr>
          <w:rFonts w:ascii="Arial" w:hAnsi="Arial" w:cs="Arial"/>
          <w:szCs w:val="24"/>
        </w:rPr>
        <w:t xml:space="preserve">UK National Computing Centre published a report on developing a successful governance strategy (Manchester. National Computing Centre, 2005, pp. 5-6). The publication indicates that for an organisation to deliver an overall business goal, its investment in IT must provide full value. ​The report underscores that decision-makers in IT must ensure that investment must recognise that technology is incorporated fully into business strategies and direction. The publication indicates the importance of identifying and controlling critical risks as well as a full demonstration of legislative and regulatory compliance. The report points out that ITG covers all the elements underlined. There are underlining weaknesses in the approach to implementing ITG in SMEs noting the apparent emergent of recent corporate failures. Undoubtedly, such shortcomings are not diminishing but appreciate a higher profile today than at any time in recent memory. </w:t>
      </w:r>
    </w:p>
    <w:p w14:paraId="2C6E8278" w14:textId="502C6E29" w:rsidR="00256A51" w:rsidRDefault="00023696" w:rsidP="00256A51">
      <w:pPr>
        <w:spacing w:line="480" w:lineRule="auto"/>
        <w:ind w:right="-9" w:firstLine="576"/>
        <w:jc w:val="both"/>
        <w:rPr>
          <w:rFonts w:ascii="Arial" w:hAnsi="Arial" w:cs="Arial"/>
          <w:szCs w:val="24"/>
        </w:rPr>
      </w:pPr>
      <w:r w:rsidRPr="00312389">
        <w:rPr>
          <w:rFonts w:ascii="Arial" w:hAnsi="Arial" w:cs="Arial"/>
          <w:szCs w:val="24"/>
        </w:rPr>
        <w:t xml:space="preserve">However, Webb </w:t>
      </w:r>
      <w:r w:rsidR="00B50415" w:rsidRPr="00B50415">
        <w:rPr>
          <w:rFonts w:ascii="Arial" w:hAnsi="Arial" w:cs="Arial"/>
          <w:i/>
          <w:iCs/>
          <w:szCs w:val="24"/>
        </w:rPr>
        <w:t>et al</w:t>
      </w:r>
      <w:r w:rsidRPr="00312389">
        <w:rPr>
          <w:rFonts w:ascii="Arial" w:hAnsi="Arial" w:cs="Arial"/>
          <w:szCs w:val="24"/>
        </w:rPr>
        <w:t xml:space="preserve">. (2006) suggested that in the attainment of a broad-reach outcome in business objectives, the definition of ITG must be context-based. The existing definitions have accentuated different things to a different organisation. Notwithstanding, ITG provides a formal way to align IT and business strategy. ​ Accordingly, there are various regulations for organisations to be compliant​ within </w:t>
      </w:r>
      <w:r w:rsidRPr="00312389">
        <w:rPr>
          <w:rFonts w:ascii="Arial" w:hAnsi="Arial" w:cs="Arial"/>
          <w:szCs w:val="24"/>
        </w:rPr>
        <w:lastRenderedPageBreak/>
        <w:t xml:space="preserve">different locations of business operations. The view remains consistent with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Grembergen’s</w:t>
      </w:r>
      <w:proofErr w:type="spellEnd"/>
      <w:r w:rsidRPr="00312389">
        <w:rPr>
          <w:rFonts w:ascii="Arial" w:hAnsi="Arial" w:cs="Arial"/>
          <w:szCs w:val="24"/>
        </w:rPr>
        <w:t xml:space="preserve"> (2009) assertion that IT decision-makers must achieve a full business/IT alignment maturity.</w:t>
      </w:r>
      <w:r w:rsidR="00256A51">
        <w:rPr>
          <w:rFonts w:ascii="Arial" w:hAnsi="Arial" w:cs="Arial"/>
          <w:szCs w:val="24"/>
        </w:rPr>
        <w:t xml:space="preserve"> </w:t>
      </w:r>
    </w:p>
    <w:p w14:paraId="03D03E17" w14:textId="77777777" w:rsidR="00D9305E" w:rsidRDefault="00023696" w:rsidP="00256A51">
      <w:pPr>
        <w:spacing w:line="480" w:lineRule="auto"/>
        <w:ind w:right="-9" w:firstLine="576"/>
        <w:jc w:val="both"/>
        <w:rPr>
          <w:rFonts w:ascii="Arial" w:hAnsi="Arial" w:cs="Arial"/>
          <w:szCs w:val="24"/>
        </w:rPr>
      </w:pPr>
      <w:r w:rsidRPr="00312389">
        <w:rPr>
          <w:rFonts w:ascii="Arial" w:hAnsi="Arial" w:cs="Arial"/>
          <w:szCs w:val="24"/>
        </w:rPr>
        <w:t xml:space="preserve">Subsequently, questions also arise due to the coherence of various elements that ITG covers. According to De </w:t>
      </w:r>
      <w:proofErr w:type="spellStart"/>
      <w:r w:rsidRPr="00312389">
        <w:rPr>
          <w:rFonts w:ascii="Arial" w:hAnsi="Arial" w:cs="Arial"/>
          <w:szCs w:val="24"/>
        </w:rPr>
        <w:t>Haes</w:t>
      </w:r>
      <w:proofErr w:type="spellEnd"/>
      <w:r w:rsidRPr="00312389">
        <w:rPr>
          <w:rFonts w:ascii="Arial" w:hAnsi="Arial" w:cs="Arial"/>
          <w:szCs w:val="24"/>
        </w:rPr>
        <w:t xml:space="preserve"> and Van </w:t>
      </w:r>
      <w:proofErr w:type="spellStart"/>
      <w:r w:rsidRPr="00312389">
        <w:rPr>
          <w:rFonts w:ascii="Arial" w:hAnsi="Arial" w:cs="Arial"/>
          <w:szCs w:val="24"/>
        </w:rPr>
        <w:t>Grembergen</w:t>
      </w:r>
      <w:proofErr w:type="spellEnd"/>
      <w:r w:rsidRPr="00312389">
        <w:rPr>
          <w:rFonts w:ascii="Arial" w:hAnsi="Arial" w:cs="Arial"/>
          <w:szCs w:val="24"/>
        </w:rPr>
        <w:t xml:space="preserve"> (2006), ITG includes alignment, value delivery, risk management, resource management and performance management. </w:t>
      </w:r>
      <w:r w:rsidRPr="00312389">
        <w:rPr>
          <w:rFonts w:ascii="Arial" w:eastAsia="Calibri" w:hAnsi="Arial" w:cs="Arial"/>
          <w:szCs w:val="24"/>
        </w:rPr>
        <w:t>​</w:t>
      </w:r>
      <w:r w:rsidRPr="00312389">
        <w:rPr>
          <w:rFonts w:ascii="Arial" w:hAnsi="Arial" w:cs="Arial"/>
        </w:rPr>
        <w:t xml:space="preserve"> </w:t>
      </w:r>
      <w:r w:rsidRPr="00312389">
        <w:rPr>
          <w:rFonts w:ascii="Arial" w:eastAsia="Calibri" w:hAnsi="Arial" w:cs="Arial"/>
          <w:szCs w:val="24"/>
        </w:rPr>
        <w:t>Necessarily, an organisation should identify possible stakeholders in the implementation of ITG to achieve a measurable performance of better alignment between business and IT.</w:t>
      </w:r>
      <w:r w:rsidRPr="00312389">
        <w:rPr>
          <w:rFonts w:ascii="Arial" w:hAnsi="Arial" w:cs="Arial"/>
          <w:szCs w:val="24"/>
        </w:rPr>
        <w:t xml:space="preserve"> </w:t>
      </w:r>
      <w:proofErr w:type="spellStart"/>
      <w:r w:rsidRPr="00312389">
        <w:rPr>
          <w:rFonts w:ascii="Arial" w:hAnsi="Arial" w:cs="Arial"/>
          <w:szCs w:val="24"/>
        </w:rPr>
        <w:t>Banham</w:t>
      </w:r>
      <w:proofErr w:type="spellEnd"/>
      <w:r w:rsidRPr="00312389">
        <w:rPr>
          <w:rFonts w:ascii="Arial" w:hAnsi="Arial" w:cs="Arial"/>
          <w:szCs w:val="24"/>
        </w:rPr>
        <w:t xml:space="preserve"> and He (2010) argues that in SME governance, definitions of ITG converge, business expectations must expand to accommodate appropriate alignment. Considering SMEs' limited resources, </w:t>
      </w:r>
      <w:proofErr w:type="spellStart"/>
      <w:r w:rsidRPr="00312389">
        <w:rPr>
          <w:rFonts w:ascii="Arial" w:hAnsi="Arial" w:cs="Arial"/>
          <w:szCs w:val="24"/>
        </w:rPr>
        <w:t>Banham</w:t>
      </w:r>
      <w:proofErr w:type="spellEnd"/>
      <w:r w:rsidRPr="00312389">
        <w:rPr>
          <w:rFonts w:ascii="Arial" w:hAnsi="Arial" w:cs="Arial"/>
          <w:szCs w:val="24"/>
        </w:rPr>
        <w:t xml:space="preserve"> and He identified </w:t>
      </w:r>
      <w:r w:rsidRPr="00312389">
        <w:rPr>
          <w:rFonts w:ascii="Arial" w:eastAsia="Calibri" w:hAnsi="Arial" w:cs="Arial"/>
          <w:szCs w:val="24"/>
        </w:rPr>
        <w:t>​</w:t>
      </w:r>
      <w:r w:rsidRPr="00312389">
        <w:rPr>
          <w:rFonts w:ascii="Arial" w:hAnsi="Arial" w:cs="Arial"/>
          <w:szCs w:val="24"/>
        </w:rPr>
        <w:t xml:space="preserve">that proper implementation of a cyber policy could provide a possible relational pathway. </w:t>
      </w:r>
    </w:p>
    <w:p w14:paraId="16AFF898" w14:textId="24C4CDA2" w:rsidR="00D9305E" w:rsidRDefault="00023696" w:rsidP="00D9305E">
      <w:pPr>
        <w:spacing w:line="480" w:lineRule="auto"/>
        <w:ind w:right="-9" w:firstLine="576"/>
        <w:jc w:val="both"/>
        <w:rPr>
          <w:rFonts w:ascii="Arial" w:hAnsi="Arial" w:cs="Arial"/>
          <w:color w:val="000000"/>
          <w:szCs w:val="24"/>
        </w:rPr>
      </w:pPr>
      <w:r w:rsidRPr="00312389">
        <w:rPr>
          <w:rFonts w:ascii="Arial" w:hAnsi="Arial" w:cs="Arial"/>
          <w:szCs w:val="24"/>
        </w:rPr>
        <w:t xml:space="preserve">The exploration between implementable ITG and </w:t>
      </w:r>
      <w:proofErr w:type="spellStart"/>
      <w:r w:rsidRPr="00312389">
        <w:rPr>
          <w:rFonts w:ascii="Arial" w:hAnsi="Arial" w:cs="Arial"/>
          <w:szCs w:val="24"/>
        </w:rPr>
        <w:t>multistakeholders</w:t>
      </w:r>
      <w:proofErr w:type="spellEnd"/>
      <w:r w:rsidRPr="00312389">
        <w:rPr>
          <w:rFonts w:ascii="Arial" w:hAnsi="Arial" w:cs="Arial"/>
          <w:szCs w:val="24"/>
        </w:rPr>
        <w:t xml:space="preserve">’ commitment irrespective of challenges arising from IT/Business alignment also in the view, according to De </w:t>
      </w:r>
      <w:proofErr w:type="spellStart"/>
      <w:r w:rsidRPr="00312389">
        <w:rPr>
          <w:rFonts w:ascii="Arial" w:hAnsi="Arial" w:cs="Arial"/>
          <w:szCs w:val="24"/>
        </w:rPr>
        <w:t>Haes</w:t>
      </w:r>
      <w:proofErr w:type="spellEnd"/>
      <w:r w:rsidRPr="00312389">
        <w:rPr>
          <w:rFonts w:ascii="Arial" w:hAnsi="Arial" w:cs="Arial"/>
          <w:szCs w:val="24"/>
        </w:rPr>
        <w:t xml:space="preserve"> and Van </w:t>
      </w:r>
      <w:proofErr w:type="spellStart"/>
      <w:r w:rsidRPr="00312389">
        <w:rPr>
          <w:rFonts w:ascii="Arial" w:hAnsi="Arial" w:cs="Arial"/>
          <w:szCs w:val="24"/>
        </w:rPr>
        <w:t>Grembergen</w:t>
      </w:r>
      <w:proofErr w:type="spellEnd"/>
      <w:r w:rsidRPr="00312389">
        <w:rPr>
          <w:rFonts w:ascii="Arial" w:hAnsi="Arial" w:cs="Arial"/>
          <w:szCs w:val="24"/>
        </w:rPr>
        <w:t xml:space="preserve">. Nonetheless, how could the implementation of the right industrial cyber policy contribute to the robustness of multi-stakeholder governance approach? From operation research approach, Pearce </w:t>
      </w:r>
      <w:r w:rsidR="00B50415" w:rsidRPr="00B50415">
        <w:rPr>
          <w:rFonts w:ascii="Arial" w:hAnsi="Arial" w:cs="Arial"/>
          <w:i/>
          <w:iCs/>
          <w:szCs w:val="24"/>
        </w:rPr>
        <w:t>et al</w:t>
      </w:r>
      <w:r w:rsidRPr="00312389">
        <w:rPr>
          <w:rFonts w:ascii="Arial" w:hAnsi="Arial" w:cs="Arial"/>
          <w:szCs w:val="24"/>
        </w:rPr>
        <w:t xml:space="preserve">. (2018) assert that lean adoption could be helpful to SMEs’ decision-makers to bridge the gap that exists in the implementation of ITG. The study points out that using </w:t>
      </w:r>
      <w:bookmarkStart w:id="16" w:name="_Hlk25656038"/>
      <w:r w:rsidRPr="00312389">
        <w:rPr>
          <w:rFonts w:ascii="Arial" w:hAnsi="Arial" w:cs="Arial"/>
          <w:szCs w:val="24"/>
        </w:rPr>
        <w:t>Lean Implementation (LI) as a scaling technique could improve a lead to conceptualising ITG framework</w:t>
      </w:r>
      <w:bookmarkEnd w:id="16"/>
      <w:r w:rsidRPr="00312389">
        <w:rPr>
          <w:rFonts w:ascii="Arial" w:hAnsi="Arial" w:cs="Arial"/>
          <w:szCs w:val="24"/>
        </w:rPr>
        <w:t xml:space="preserve">. Such an outcome might serve as an input to implementing cyber policy within SMEs in the automobile industry. </w:t>
      </w:r>
      <w:r w:rsidR="00B263EF" w:rsidRPr="00E83344">
        <w:rPr>
          <w:rFonts w:ascii="Arial" w:hAnsi="Arial" w:cs="Arial"/>
          <w:color w:val="000000"/>
          <w:szCs w:val="24"/>
        </w:rPr>
        <w:t xml:space="preserve">According to Pearce </w:t>
      </w:r>
      <w:r w:rsidR="00B50415" w:rsidRPr="00B50415">
        <w:rPr>
          <w:rFonts w:ascii="Arial" w:hAnsi="Arial" w:cs="Arial"/>
          <w:i/>
          <w:iCs/>
          <w:color w:val="000000"/>
          <w:szCs w:val="24"/>
        </w:rPr>
        <w:t>et al</w:t>
      </w:r>
      <w:r w:rsidR="00B263EF" w:rsidRPr="00E83344">
        <w:rPr>
          <w:rFonts w:ascii="Arial" w:hAnsi="Arial" w:cs="Arial"/>
          <w:color w:val="000000"/>
          <w:szCs w:val="24"/>
        </w:rPr>
        <w:t xml:space="preserve">., resources are rare in SMEs for such exploration. However, </w:t>
      </w:r>
      <w:proofErr w:type="spellStart"/>
      <w:r w:rsidR="00B263EF" w:rsidRPr="00E83344">
        <w:rPr>
          <w:rFonts w:ascii="Arial" w:hAnsi="Arial" w:cs="Arial"/>
          <w:color w:val="000000"/>
          <w:szCs w:val="24"/>
        </w:rPr>
        <w:t>Vejseli</w:t>
      </w:r>
      <w:proofErr w:type="spellEnd"/>
      <w:r w:rsidR="00B263EF" w:rsidRPr="00E83344">
        <w:rPr>
          <w:rFonts w:ascii="Arial" w:hAnsi="Arial" w:cs="Arial"/>
          <w:color w:val="000000"/>
          <w:szCs w:val="24"/>
        </w:rPr>
        <w:t xml:space="preserve"> </w:t>
      </w:r>
      <w:r w:rsidR="00B50415" w:rsidRPr="00B50415">
        <w:rPr>
          <w:rFonts w:ascii="Arial" w:hAnsi="Arial" w:cs="Arial"/>
          <w:i/>
          <w:iCs/>
          <w:color w:val="000000"/>
          <w:szCs w:val="24"/>
        </w:rPr>
        <w:t xml:space="preserve">et </w:t>
      </w:r>
      <w:r w:rsidR="00B50415" w:rsidRPr="00B50415">
        <w:rPr>
          <w:rFonts w:ascii="Arial" w:hAnsi="Arial" w:cs="Arial"/>
          <w:i/>
          <w:iCs/>
          <w:color w:val="000000"/>
          <w:szCs w:val="24"/>
        </w:rPr>
        <w:lastRenderedPageBreak/>
        <w:t>al</w:t>
      </w:r>
      <w:r w:rsidR="00B263EF" w:rsidRPr="00E83344">
        <w:rPr>
          <w:rFonts w:ascii="Arial" w:hAnsi="Arial" w:cs="Arial"/>
          <w:color w:val="000000"/>
          <w:szCs w:val="24"/>
        </w:rPr>
        <w:t>. (2019) argue that agile dimension to implementation of ITG could factor the LI’s concept.</w:t>
      </w:r>
    </w:p>
    <w:p w14:paraId="1EA30A6F" w14:textId="16D791C3" w:rsidR="00D9305E" w:rsidRDefault="00B263EF" w:rsidP="00D9305E">
      <w:pPr>
        <w:spacing w:line="480" w:lineRule="auto"/>
        <w:ind w:right="-9" w:firstLine="576"/>
        <w:jc w:val="both"/>
        <w:rPr>
          <w:rFonts w:ascii="Arial" w:hAnsi="Arial" w:cs="Arial"/>
          <w:color w:val="000000"/>
          <w:szCs w:val="24"/>
        </w:rPr>
      </w:pPr>
      <w:r w:rsidRPr="00E83344">
        <w:rPr>
          <w:rFonts w:ascii="Arial" w:hAnsi="Arial" w:cs="Arial"/>
          <w:color w:val="000000"/>
          <w:szCs w:val="24"/>
        </w:rPr>
        <w:t xml:space="preserve">By deduction, with the UK’s SME Aviation, </w:t>
      </w:r>
      <w:proofErr w:type="spellStart"/>
      <w:r w:rsidRPr="00E83344">
        <w:rPr>
          <w:rFonts w:ascii="Arial" w:hAnsi="Arial" w:cs="Arial"/>
          <w:color w:val="000000"/>
          <w:szCs w:val="24"/>
        </w:rPr>
        <w:t>GreenPope</w:t>
      </w:r>
      <w:proofErr w:type="spellEnd"/>
      <w:r w:rsidRPr="00E83344">
        <w:rPr>
          <w:rFonts w:ascii="Arial" w:hAnsi="Arial" w:cs="Arial"/>
          <w:color w:val="000000"/>
          <w:szCs w:val="24"/>
        </w:rPr>
        <w:t xml:space="preserve"> </w:t>
      </w:r>
      <w:r w:rsidR="00B50415" w:rsidRPr="00B50415">
        <w:rPr>
          <w:rFonts w:ascii="Arial" w:hAnsi="Arial" w:cs="Arial"/>
          <w:i/>
          <w:iCs/>
          <w:color w:val="000000"/>
          <w:szCs w:val="24"/>
        </w:rPr>
        <w:t>et al</w:t>
      </w:r>
      <w:r w:rsidRPr="00E83344">
        <w:rPr>
          <w:rFonts w:ascii="Arial" w:hAnsi="Arial" w:cs="Arial"/>
          <w:color w:val="000000"/>
          <w:szCs w:val="24"/>
        </w:rPr>
        <w:t xml:space="preserve">. (2010) contend that such a methodology requires firmly arranged exercises crosswise over associations in various areas. The technique involves the duties of Airport Commissions, Department of Transport, Ministry of </w:t>
      </w:r>
      <w:proofErr w:type="spellStart"/>
      <w:r w:rsidRPr="00E83344">
        <w:rPr>
          <w:rFonts w:ascii="Arial" w:hAnsi="Arial" w:cs="Arial"/>
          <w:color w:val="000000"/>
          <w:szCs w:val="24"/>
        </w:rPr>
        <w:t>Defense</w:t>
      </w:r>
      <w:proofErr w:type="spellEnd"/>
      <w:r w:rsidRPr="00E83344">
        <w:rPr>
          <w:rFonts w:ascii="Arial" w:hAnsi="Arial" w:cs="Arial"/>
          <w:color w:val="000000"/>
          <w:szCs w:val="24"/>
        </w:rPr>
        <w:t xml:space="preserve"> (MOD) and other Aviation security associations; under which the cooperative energy works. Aggarwal and </w:t>
      </w:r>
      <w:proofErr w:type="spellStart"/>
      <w:r w:rsidRPr="00E83344">
        <w:rPr>
          <w:rFonts w:ascii="Arial" w:hAnsi="Arial" w:cs="Arial"/>
          <w:color w:val="000000"/>
          <w:szCs w:val="24"/>
        </w:rPr>
        <w:t>Reddie</w:t>
      </w:r>
      <w:proofErr w:type="spellEnd"/>
      <w:r w:rsidRPr="00E83344">
        <w:rPr>
          <w:rFonts w:ascii="Arial" w:hAnsi="Arial" w:cs="Arial"/>
          <w:color w:val="000000"/>
          <w:szCs w:val="24"/>
        </w:rPr>
        <w:t xml:space="preserve"> (2018) assess the job of organisations, governments, other related partners in the rise of modern strategy. Aggarwal and </w:t>
      </w:r>
      <w:proofErr w:type="spellStart"/>
      <w:r w:rsidRPr="00E83344">
        <w:rPr>
          <w:rFonts w:ascii="Arial" w:hAnsi="Arial" w:cs="Arial"/>
          <w:color w:val="000000"/>
          <w:szCs w:val="24"/>
        </w:rPr>
        <w:t>Reddie</w:t>
      </w:r>
      <w:proofErr w:type="spellEnd"/>
      <w:r w:rsidRPr="00E83344">
        <w:rPr>
          <w:rFonts w:ascii="Arial" w:hAnsi="Arial" w:cs="Arial"/>
          <w:color w:val="000000"/>
          <w:szCs w:val="24"/>
        </w:rPr>
        <w:t xml:space="preserve"> authenticated Sender's (2016) assertion. There is a developing acceleration of the geopolitical setting in digital approach substance of politically influential nation to vital challenge.</w:t>
      </w:r>
    </w:p>
    <w:p w14:paraId="2E91B29C" w14:textId="7672EC8D" w:rsidR="00D9305E" w:rsidRDefault="00023696" w:rsidP="00D9305E">
      <w:pPr>
        <w:spacing w:line="480" w:lineRule="auto"/>
        <w:ind w:right="-9" w:firstLine="576"/>
        <w:jc w:val="both"/>
        <w:rPr>
          <w:rFonts w:ascii="Arial" w:hAnsi="Arial" w:cs="Arial"/>
          <w:szCs w:val="24"/>
        </w:rPr>
      </w:pPr>
      <w:proofErr w:type="spellStart"/>
      <w:r w:rsidRPr="00312389">
        <w:rPr>
          <w:rFonts w:ascii="Arial" w:hAnsi="Arial" w:cs="Arial"/>
          <w:szCs w:val="24"/>
        </w:rPr>
        <w:t>GreenPope</w:t>
      </w:r>
      <w:proofErr w:type="spellEnd"/>
      <w:r w:rsidRPr="00312389">
        <w:rPr>
          <w:rFonts w:ascii="Arial" w:hAnsi="Arial" w:cs="Arial"/>
          <w:szCs w:val="24"/>
        </w:rPr>
        <w:t xml:space="preserve"> and colleagues assert that the approach </w:t>
      </w:r>
      <w:bookmarkStart w:id="17" w:name="_Hlk25575416"/>
      <w:r w:rsidRPr="00312389">
        <w:rPr>
          <w:rFonts w:ascii="Arial" w:hAnsi="Arial" w:cs="Arial"/>
          <w:szCs w:val="24"/>
        </w:rPr>
        <w:t>explores the implementation of cyber policy as a linkage between ITG and MSGS.</w:t>
      </w:r>
      <w:bookmarkEnd w:id="17"/>
      <w:r w:rsidRPr="00312389">
        <w:rPr>
          <w:rFonts w:ascii="Arial" w:hAnsi="Arial" w:cs="Arial"/>
          <w:szCs w:val="24"/>
        </w:rPr>
        <w:t xml:space="preserve"> Furthermore, it could anchor the widespread use of the internet as a global venue for international cybercrime. Implementation of effective Cyber policy is the linkage that exists between ITG and MSGS with the adoption of LI, considering the limited resources available to SMEs. The assertion centres on the provision of technical and security pathway to IT/business alignment (De </w:t>
      </w:r>
      <w:proofErr w:type="spellStart"/>
      <w:r w:rsidRPr="00312389">
        <w:rPr>
          <w:rFonts w:ascii="Arial" w:hAnsi="Arial" w:cs="Arial"/>
          <w:szCs w:val="24"/>
        </w:rPr>
        <w:t>Haes</w:t>
      </w:r>
      <w:proofErr w:type="spellEnd"/>
      <w:r w:rsidRPr="00312389">
        <w:rPr>
          <w:rFonts w:ascii="Arial" w:hAnsi="Arial" w:cs="Arial"/>
          <w:szCs w:val="24"/>
        </w:rPr>
        <w:t xml:space="preserve"> and Van </w:t>
      </w:r>
      <w:proofErr w:type="spellStart"/>
      <w:r w:rsidRPr="00312389">
        <w:rPr>
          <w:rFonts w:ascii="Arial" w:hAnsi="Arial" w:cs="Arial"/>
          <w:szCs w:val="24"/>
        </w:rPr>
        <w:t>Grembergen</w:t>
      </w:r>
      <w:proofErr w:type="spellEnd"/>
      <w:r w:rsidRPr="00312389">
        <w:rPr>
          <w:rFonts w:ascii="Arial" w:hAnsi="Arial" w:cs="Arial"/>
          <w:szCs w:val="24"/>
        </w:rPr>
        <w:t xml:space="preserve">, 2006; see also De </w:t>
      </w:r>
      <w:proofErr w:type="spellStart"/>
      <w:r w:rsidRPr="00312389">
        <w:rPr>
          <w:rFonts w:ascii="Arial" w:hAnsi="Arial" w:cs="Arial"/>
          <w:szCs w:val="24"/>
        </w:rPr>
        <w:t>Haes</w:t>
      </w:r>
      <w:proofErr w:type="spellEnd"/>
      <w:r w:rsidRPr="00312389">
        <w:rPr>
          <w:rFonts w:ascii="Arial" w:hAnsi="Arial" w:cs="Arial"/>
          <w:szCs w:val="24"/>
        </w:rPr>
        <w:t xml:space="preserve"> and Van </w:t>
      </w:r>
      <w:proofErr w:type="spellStart"/>
      <w:r w:rsidRPr="00312389">
        <w:rPr>
          <w:rFonts w:ascii="Arial" w:hAnsi="Arial" w:cs="Arial"/>
          <w:szCs w:val="24"/>
        </w:rPr>
        <w:t>Grembergen</w:t>
      </w:r>
      <w:proofErr w:type="spellEnd"/>
      <w:r w:rsidRPr="00312389">
        <w:rPr>
          <w:rFonts w:ascii="Arial" w:hAnsi="Arial" w:cs="Arial"/>
          <w:szCs w:val="24"/>
        </w:rPr>
        <w:t xml:space="preserve">, 2006 and Webb </w:t>
      </w:r>
      <w:r w:rsidR="00B50415" w:rsidRPr="00B50415">
        <w:rPr>
          <w:rFonts w:ascii="Arial" w:hAnsi="Arial" w:cs="Arial"/>
          <w:i/>
          <w:iCs/>
          <w:szCs w:val="24"/>
        </w:rPr>
        <w:t>et al</w:t>
      </w:r>
      <w:r w:rsidRPr="00312389">
        <w:rPr>
          <w:rFonts w:ascii="Arial" w:hAnsi="Arial" w:cs="Arial"/>
          <w:szCs w:val="24"/>
        </w:rPr>
        <w:t xml:space="preserve">., 2006). Hubbard and </w:t>
      </w:r>
      <w:proofErr w:type="spellStart"/>
      <w:r w:rsidRPr="00312389">
        <w:rPr>
          <w:rFonts w:ascii="Arial" w:hAnsi="Arial" w:cs="Arial"/>
          <w:szCs w:val="24"/>
        </w:rPr>
        <w:t>Seiersen</w:t>
      </w:r>
      <w:proofErr w:type="spellEnd"/>
      <w:r w:rsidRPr="00312389">
        <w:rPr>
          <w:rFonts w:ascii="Arial" w:hAnsi="Arial" w:cs="Arial"/>
          <w:szCs w:val="24"/>
        </w:rPr>
        <w:t xml:space="preserve"> (2016) indicate that in measurement, implementation of an effective cyber policy (as a linkage between ITG and MSGS) will contribute to the concept of “uncertain reduction.” </w:t>
      </w:r>
    </w:p>
    <w:p w14:paraId="0174919B" w14:textId="77777777" w:rsidR="00773D62" w:rsidRDefault="00350222" w:rsidP="00773D62">
      <w:pPr>
        <w:spacing w:line="480" w:lineRule="auto"/>
        <w:ind w:right="-9" w:firstLine="576"/>
        <w:jc w:val="both"/>
        <w:rPr>
          <w:rFonts w:ascii="Arial" w:hAnsi="Arial" w:cs="Arial"/>
          <w:color w:val="000000"/>
          <w:szCs w:val="24"/>
        </w:rPr>
      </w:pPr>
      <w:r w:rsidRPr="00C83A1E">
        <w:rPr>
          <w:rFonts w:ascii="Arial" w:hAnsi="Arial" w:cs="Arial"/>
          <w:color w:val="000000"/>
          <w:szCs w:val="24"/>
        </w:rPr>
        <w:t xml:space="preserve">Security vendors McAfee Intel Security and Symantec Corporation reported, a comparable to </w:t>
      </w:r>
      <w:proofErr w:type="spellStart"/>
      <w:r w:rsidRPr="00C83A1E">
        <w:rPr>
          <w:rFonts w:ascii="Arial" w:hAnsi="Arial" w:cs="Arial"/>
          <w:color w:val="000000"/>
          <w:szCs w:val="24"/>
        </w:rPr>
        <w:t>Bernik’s</w:t>
      </w:r>
      <w:proofErr w:type="spellEnd"/>
      <w:r w:rsidRPr="00C83A1E">
        <w:rPr>
          <w:rFonts w:ascii="Arial" w:hAnsi="Arial" w:cs="Arial"/>
          <w:color w:val="000000"/>
          <w:szCs w:val="24"/>
        </w:rPr>
        <w:t xml:space="preserve"> (2014) cost-implication framework. The report points out </w:t>
      </w:r>
      <w:r w:rsidRPr="00C83A1E">
        <w:rPr>
          <w:rFonts w:ascii="Arial" w:hAnsi="Arial" w:cs="Arial"/>
          <w:color w:val="000000"/>
          <w:szCs w:val="24"/>
        </w:rPr>
        <w:lastRenderedPageBreak/>
        <w:t xml:space="preserve">that there is a cost implication; mainly, due to variants approach to the implementation of cyber policy. Hyman (2013) asserts that the outcome of inadequate implementation of appropriate cyber policy in organisations could become unbearable to organisations. Hyman furthers the report that Symantec Corporation accentuated that cyber breaches cost the globe $110 billion annually. As McAfee Intel Security reported worldwide cybercrime costs of $1 trillion yearly. The report highlighted differential factor in figures with those of Symantec Corporation. The former’s focus on both malicious and accidental data losses for businesses worldwide depends mainly on the contribution from SMEs. The uncertain reduction approach in measurement could align assertively to the MSGS approach (Hubbard and </w:t>
      </w:r>
      <w:proofErr w:type="spellStart"/>
      <w:r w:rsidRPr="00C83A1E">
        <w:rPr>
          <w:rFonts w:ascii="Arial" w:hAnsi="Arial" w:cs="Arial"/>
          <w:color w:val="000000"/>
          <w:szCs w:val="24"/>
        </w:rPr>
        <w:t>Seiersen</w:t>
      </w:r>
      <w:proofErr w:type="spellEnd"/>
      <w:r w:rsidRPr="00C83A1E">
        <w:rPr>
          <w:rFonts w:ascii="Arial" w:hAnsi="Arial" w:cs="Arial"/>
          <w:color w:val="000000"/>
          <w:szCs w:val="24"/>
        </w:rPr>
        <w:t>, 2016).</w:t>
      </w:r>
      <w:r w:rsidR="00773D62">
        <w:rPr>
          <w:rFonts w:ascii="Arial" w:hAnsi="Arial" w:cs="Arial"/>
          <w:color w:val="000000"/>
          <w:szCs w:val="24"/>
        </w:rPr>
        <w:t xml:space="preserve"> </w:t>
      </w:r>
    </w:p>
    <w:p w14:paraId="6E4100A0" w14:textId="77777777" w:rsidR="00773D62" w:rsidRDefault="00350222" w:rsidP="00773D62">
      <w:pPr>
        <w:spacing w:line="480" w:lineRule="auto"/>
        <w:ind w:right="-9" w:firstLine="576"/>
        <w:jc w:val="both"/>
        <w:rPr>
          <w:rFonts w:ascii="Arial" w:hAnsi="Arial" w:cs="Arial"/>
          <w:color w:val="000000"/>
          <w:szCs w:val="24"/>
        </w:rPr>
      </w:pPr>
      <w:r w:rsidRPr="00C83A1E">
        <w:rPr>
          <w:rFonts w:ascii="Arial" w:hAnsi="Arial" w:cs="Arial"/>
          <w:color w:val="000000"/>
          <w:szCs w:val="24"/>
        </w:rPr>
        <w:t xml:space="preserve">The cost-implication effect and the increase of cyber-attack on SMEs is an indication of an advanced threat to an SME’s bottom line. According to </w:t>
      </w:r>
      <w:proofErr w:type="spellStart"/>
      <w:r w:rsidRPr="00C83A1E">
        <w:rPr>
          <w:rFonts w:ascii="Arial" w:hAnsi="Arial" w:cs="Arial"/>
          <w:color w:val="000000"/>
          <w:szCs w:val="24"/>
        </w:rPr>
        <w:t>GlobalData</w:t>
      </w:r>
      <w:proofErr w:type="spellEnd"/>
      <w:r w:rsidRPr="00C83A1E">
        <w:rPr>
          <w:rFonts w:ascii="Arial" w:hAnsi="Arial" w:cs="Arial"/>
          <w:color w:val="000000"/>
          <w:szCs w:val="24"/>
        </w:rPr>
        <w:t xml:space="preserve"> (2017), “UK SMEs showing an appetite for cyber insurance.” The report points out that the uptake by UK SMEs grew from 2.1% in 2014 to 13.7% in 2016 - a considerable increase but coverage remains low at 13.7%. Shackelford (2012) distinguished cyber risk protection as an instrument to oversee obligation and relieve the peril of cyberattacks. Protection arrangements cover losses from cyberattacks and information breaks. Shackelford demonstrated that interest in cyber risk insurance should be an encouragement to cyber policy decision-makers.</w:t>
      </w:r>
    </w:p>
    <w:p w14:paraId="356A416E" w14:textId="2F983DB4" w:rsidR="00045CB6" w:rsidRDefault="00350222" w:rsidP="00045CB6">
      <w:pPr>
        <w:spacing w:line="480" w:lineRule="auto"/>
        <w:ind w:right="-9" w:firstLine="576"/>
        <w:jc w:val="both"/>
        <w:rPr>
          <w:rFonts w:ascii="Arial" w:hAnsi="Arial" w:cs="Arial"/>
          <w:color w:val="000000"/>
          <w:szCs w:val="24"/>
        </w:rPr>
      </w:pPr>
      <w:r w:rsidRPr="00C83A1E">
        <w:rPr>
          <w:rFonts w:ascii="Arial" w:hAnsi="Arial" w:cs="Arial"/>
          <w:color w:val="000000"/>
          <w:szCs w:val="24"/>
        </w:rPr>
        <w:t>The recommendation remains emphatic as UK SMEs dependent on the digital space, and crime is</w:t>
      </w:r>
      <w:r w:rsidR="00C83A1E" w:rsidRPr="00C83A1E">
        <w:rPr>
          <w:rFonts w:ascii="Arial" w:hAnsi="Arial" w:cs="Arial"/>
          <w:color w:val="000000"/>
          <w:szCs w:val="24"/>
        </w:rPr>
        <w:t xml:space="preserve"> </w:t>
      </w:r>
      <w:r w:rsidRPr="00C83A1E">
        <w:rPr>
          <w:rFonts w:ascii="Arial" w:hAnsi="Arial" w:cs="Arial"/>
          <w:color w:val="000000"/>
          <w:szCs w:val="24"/>
        </w:rPr>
        <w:t xml:space="preserve">moving exponentially to online. The Competition and Markets Authority (CMA), in its response to UK Aviation 2050, agrees that “There is scope to improve passenger experience and embedding protections is a step forward.” </w:t>
      </w:r>
      <w:r w:rsidRPr="00C83A1E">
        <w:rPr>
          <w:rFonts w:ascii="Arial" w:hAnsi="Arial" w:cs="Arial"/>
          <w:color w:val="000000"/>
          <w:szCs w:val="24"/>
        </w:rPr>
        <w:lastRenderedPageBreak/>
        <w:t xml:space="preserve">There is a greater need for cyber insurance as an MSGS technique within the cyber policy (Pal </w:t>
      </w:r>
      <w:r w:rsidR="00B50415" w:rsidRPr="00B50415">
        <w:rPr>
          <w:rFonts w:ascii="Arial" w:hAnsi="Arial" w:cs="Arial"/>
          <w:i/>
          <w:iCs/>
          <w:color w:val="000000"/>
          <w:szCs w:val="24"/>
        </w:rPr>
        <w:t>et al</w:t>
      </w:r>
      <w:r w:rsidRPr="00C83A1E">
        <w:rPr>
          <w:rFonts w:ascii="Arial" w:hAnsi="Arial" w:cs="Arial"/>
          <w:color w:val="000000"/>
          <w:szCs w:val="24"/>
        </w:rPr>
        <w:t xml:space="preserve">., 2014; see also </w:t>
      </w:r>
      <w:proofErr w:type="spellStart"/>
      <w:r w:rsidRPr="00C83A1E">
        <w:rPr>
          <w:rFonts w:ascii="Arial" w:hAnsi="Arial" w:cs="Arial"/>
          <w:color w:val="000000"/>
          <w:szCs w:val="24"/>
        </w:rPr>
        <w:t>Lelarge</w:t>
      </w:r>
      <w:proofErr w:type="spellEnd"/>
      <w:r w:rsidRPr="00C83A1E">
        <w:rPr>
          <w:rFonts w:ascii="Arial" w:hAnsi="Arial" w:cs="Arial"/>
          <w:color w:val="000000"/>
          <w:szCs w:val="24"/>
        </w:rPr>
        <w:t xml:space="preserve"> and </w:t>
      </w:r>
      <w:proofErr w:type="spellStart"/>
      <w:r w:rsidRPr="00C83A1E">
        <w:rPr>
          <w:rFonts w:ascii="Arial" w:hAnsi="Arial" w:cs="Arial"/>
          <w:color w:val="000000"/>
          <w:szCs w:val="24"/>
        </w:rPr>
        <w:t>Bolot</w:t>
      </w:r>
      <w:proofErr w:type="spellEnd"/>
      <w:r w:rsidRPr="00C83A1E">
        <w:rPr>
          <w:rFonts w:ascii="Arial" w:hAnsi="Arial" w:cs="Arial"/>
          <w:color w:val="000000"/>
          <w:szCs w:val="24"/>
        </w:rPr>
        <w:t xml:space="preserve">, 2009 and Saini </w:t>
      </w:r>
      <w:r w:rsidR="00B50415" w:rsidRPr="00B50415">
        <w:rPr>
          <w:rFonts w:ascii="Arial" w:hAnsi="Arial" w:cs="Arial"/>
          <w:i/>
          <w:iCs/>
          <w:color w:val="000000"/>
          <w:szCs w:val="24"/>
        </w:rPr>
        <w:t>et al</w:t>
      </w:r>
      <w:r w:rsidRPr="00C83A1E">
        <w:rPr>
          <w:rFonts w:ascii="Arial" w:hAnsi="Arial" w:cs="Arial"/>
          <w:color w:val="000000"/>
          <w:szCs w:val="24"/>
        </w:rPr>
        <w:t>., 2012)</w:t>
      </w:r>
      <w:r w:rsidR="00045CB6">
        <w:rPr>
          <w:rFonts w:ascii="Arial" w:hAnsi="Arial" w:cs="Arial"/>
          <w:color w:val="000000"/>
          <w:szCs w:val="24"/>
        </w:rPr>
        <w:t>.</w:t>
      </w:r>
    </w:p>
    <w:p w14:paraId="7D473C58" w14:textId="77777777" w:rsidR="00045CB6" w:rsidRDefault="00023696" w:rsidP="00045CB6">
      <w:pPr>
        <w:spacing w:line="480" w:lineRule="auto"/>
        <w:ind w:right="-9" w:firstLine="576"/>
        <w:jc w:val="both"/>
        <w:rPr>
          <w:rFonts w:ascii="Arial" w:hAnsi="Arial" w:cs="Arial"/>
          <w:szCs w:val="24"/>
        </w:rPr>
      </w:pPr>
      <w:r w:rsidRPr="00312389">
        <w:rPr>
          <w:rFonts w:ascii="Arial" w:hAnsi="Arial" w:cs="Arial"/>
          <w:szCs w:val="24"/>
        </w:rPr>
        <w:t xml:space="preserve">Shackelford's suggestion that an organization's primary interest in cybersecurity is in system and framework, including firewalls, encryption, and interruption recognition. Digital hazard protection is a device used to return misfortunes that outcome from a cyberattack; however, proactive digital systems ought to consistently be the beginning stage (Shackelford, 2012). Hayes and </w:t>
      </w:r>
      <w:proofErr w:type="spellStart"/>
      <w:r w:rsidRPr="00312389">
        <w:rPr>
          <w:rFonts w:ascii="Arial" w:hAnsi="Arial" w:cs="Arial"/>
          <w:szCs w:val="24"/>
        </w:rPr>
        <w:t>Bodhani</w:t>
      </w:r>
      <w:proofErr w:type="spellEnd"/>
      <w:r w:rsidRPr="00312389">
        <w:rPr>
          <w:rFonts w:ascii="Arial" w:hAnsi="Arial" w:cs="Arial"/>
          <w:szCs w:val="24"/>
        </w:rPr>
        <w:t xml:space="preserve"> (2013) recognised SMEs as progressively focused on online dangers.</w:t>
      </w:r>
      <w:r w:rsidR="00045CB6">
        <w:rPr>
          <w:rFonts w:ascii="Arial" w:hAnsi="Arial" w:cs="Arial"/>
          <w:szCs w:val="24"/>
        </w:rPr>
        <w:t xml:space="preserve"> </w:t>
      </w:r>
    </w:p>
    <w:p w14:paraId="1A6C833A" w14:textId="63B6F7A4" w:rsidR="00C938D6" w:rsidRPr="00312389" w:rsidRDefault="00023696" w:rsidP="00045CB6">
      <w:pPr>
        <w:spacing w:line="480" w:lineRule="auto"/>
        <w:ind w:right="-9" w:firstLine="576"/>
        <w:jc w:val="both"/>
        <w:rPr>
          <w:rFonts w:ascii="Arial" w:hAnsi="Arial" w:cs="Arial"/>
          <w:szCs w:val="24"/>
        </w:rPr>
      </w:pPr>
      <w:r w:rsidRPr="00312389">
        <w:rPr>
          <w:rFonts w:ascii="Arial" w:hAnsi="Arial" w:cs="Arial"/>
          <w:szCs w:val="24"/>
        </w:rPr>
        <w:t xml:space="preserve">Cybercriminals effectively search for chances to stamp these easy objectives. SMEs with restricted data innovation assets have not set fitting interests in cybersecurity. In cases in which medium-sized to huge ventures have kept up business associations with SMEs, cybercriminals have assaulted the SME as the apparent, more fragile connection. Hayes and </w:t>
      </w:r>
      <w:proofErr w:type="spellStart"/>
      <w:r w:rsidRPr="00312389">
        <w:rPr>
          <w:rFonts w:ascii="Arial" w:hAnsi="Arial" w:cs="Arial"/>
          <w:szCs w:val="24"/>
        </w:rPr>
        <w:t>Bodhani</w:t>
      </w:r>
      <w:proofErr w:type="spellEnd"/>
      <w:r w:rsidRPr="00312389">
        <w:rPr>
          <w:rFonts w:ascii="Arial" w:hAnsi="Arial" w:cs="Arial"/>
          <w:szCs w:val="24"/>
        </w:rPr>
        <w:t xml:space="preserve"> inferred that generally, digital strategy chiefs of SMEs don't comprehend cybersecurity as an issue for them. The discernment that cybersecurity as a test just for enormous ventures are still unavoidable in SMEs. According to Hayes and </w:t>
      </w:r>
      <w:proofErr w:type="spellStart"/>
      <w:r w:rsidRPr="00312389">
        <w:rPr>
          <w:rFonts w:ascii="Arial" w:hAnsi="Arial" w:cs="Arial"/>
          <w:szCs w:val="24"/>
        </w:rPr>
        <w:t>Bodhani</w:t>
      </w:r>
      <w:proofErr w:type="spellEnd"/>
      <w:r w:rsidRPr="00312389">
        <w:rPr>
          <w:rFonts w:ascii="Arial" w:hAnsi="Arial" w:cs="Arial"/>
          <w:szCs w:val="24"/>
        </w:rPr>
        <w:t xml:space="preserve">, SMEs were progressively the objective of cybercrime. Cyber hoodlums are attempting to target the most significant investments. The inference is to the massive undertakings that could assume an obligation in giving cyber policy decision-makers support to their SME affiliations. </w:t>
      </w:r>
    </w:p>
    <w:p w14:paraId="4B6C28F4" w14:textId="10E74ACE" w:rsidR="002E234C" w:rsidRPr="00312389" w:rsidRDefault="00D524DB" w:rsidP="00D40EBB">
      <w:pPr>
        <w:pStyle w:val="Heading2"/>
        <w:spacing w:line="480" w:lineRule="auto"/>
        <w:rPr>
          <w:rFonts w:ascii="Arial" w:hAnsi="Arial" w:cs="Arial"/>
        </w:rPr>
      </w:pPr>
      <w:bookmarkStart w:id="18" w:name="_Toc72189379"/>
      <w:r w:rsidRPr="00312389">
        <w:rPr>
          <w:rFonts w:ascii="Arial" w:hAnsi="Arial" w:cs="Arial"/>
        </w:rPr>
        <w:t>Scaling and Scalability mechanisms to Decision Making Strategy</w:t>
      </w:r>
      <w:bookmarkEnd w:id="18"/>
    </w:p>
    <w:p w14:paraId="3617AC67" w14:textId="265F4CE7" w:rsidR="00A11393" w:rsidRDefault="00D524DB" w:rsidP="00A11393">
      <w:pPr>
        <w:spacing w:line="480" w:lineRule="auto"/>
        <w:ind w:left="-5" w:right="-9" w:firstLine="581"/>
        <w:jc w:val="both"/>
        <w:rPr>
          <w:rFonts w:ascii="Arial" w:hAnsi="Arial" w:cs="Arial"/>
          <w:szCs w:val="24"/>
        </w:rPr>
      </w:pPr>
      <w:r w:rsidRPr="00312389">
        <w:rPr>
          <w:rFonts w:ascii="Arial" w:hAnsi="Arial" w:cs="Arial"/>
          <w:szCs w:val="24"/>
        </w:rPr>
        <w:t xml:space="preserve">In 2002, the OECD made recommendations for the Security of Information Systems and Networks to underscore a Culture of Security. The Security Guidelines </w:t>
      </w:r>
      <w:r w:rsidRPr="00312389">
        <w:rPr>
          <w:rFonts w:ascii="Arial" w:hAnsi="Arial" w:cs="Arial"/>
          <w:szCs w:val="24"/>
        </w:rPr>
        <w:lastRenderedPageBreak/>
        <w:t xml:space="preserve">were the first international set of fundamental principles to focus on the dynamism of security policies in an open environment. According to </w:t>
      </w:r>
      <w:proofErr w:type="spellStart"/>
      <w:r w:rsidRPr="00312389">
        <w:rPr>
          <w:rFonts w:ascii="Arial" w:hAnsi="Arial" w:cs="Arial"/>
          <w:szCs w:val="24"/>
        </w:rPr>
        <w:t>Azmi</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(2018), the OECD’s 2002 </w:t>
      </w:r>
      <w:bookmarkStart w:id="19" w:name="_Hlk25659030"/>
      <w:r w:rsidRPr="00312389">
        <w:rPr>
          <w:rFonts w:ascii="Arial" w:hAnsi="Arial" w:cs="Arial"/>
          <w:szCs w:val="24"/>
        </w:rPr>
        <w:t xml:space="preserve">security policies guidelines provided a template for the organisational culture of security </w:t>
      </w:r>
      <w:bookmarkEnd w:id="19"/>
      <w:r w:rsidRPr="00312389">
        <w:rPr>
          <w:rFonts w:ascii="Arial" w:hAnsi="Arial" w:cs="Arial"/>
          <w:szCs w:val="24"/>
        </w:rPr>
        <w:t xml:space="preserve">as well as directions for both public and private sectors </w:t>
      </w:r>
      <w:bookmarkStart w:id="20" w:name="_Hlk25658727"/>
      <w:r w:rsidRPr="00312389">
        <w:rPr>
          <w:rFonts w:ascii="Arial" w:hAnsi="Arial" w:cs="Arial"/>
          <w:szCs w:val="24"/>
        </w:rPr>
        <w:t xml:space="preserve">to adopt scaling in appropriation to their own cybersecurity policy needs. </w:t>
      </w:r>
      <w:bookmarkEnd w:id="20"/>
    </w:p>
    <w:p w14:paraId="0BDB4845" w14:textId="359C5B30" w:rsidR="00314D95" w:rsidRDefault="00D524DB" w:rsidP="00A11393">
      <w:pPr>
        <w:spacing w:line="480" w:lineRule="auto"/>
        <w:ind w:left="-5" w:right="-9" w:firstLine="581"/>
        <w:jc w:val="both"/>
        <w:rPr>
          <w:rFonts w:ascii="Arial" w:hAnsi="Arial" w:cs="Arial"/>
          <w:szCs w:val="24"/>
        </w:rPr>
      </w:pPr>
      <w:r w:rsidRPr="00312389">
        <w:rPr>
          <w:rFonts w:ascii="Arial" w:hAnsi="Arial" w:cs="Arial"/>
          <w:szCs w:val="24"/>
        </w:rPr>
        <w:t>There are lacking guidelines as to achieving scalability either to scale up or out (</w:t>
      </w:r>
      <w:proofErr w:type="spellStart"/>
      <w:r w:rsidR="00900AC5">
        <w:rPr>
          <w:rFonts w:ascii="Arial" w:hAnsi="Arial" w:cs="Arial"/>
          <w:szCs w:val="24"/>
        </w:rPr>
        <w:t>Ademola</w:t>
      </w:r>
      <w:proofErr w:type="spellEnd"/>
      <w:r w:rsidR="00900AC5">
        <w:rPr>
          <w:rFonts w:ascii="Arial" w:hAnsi="Arial" w:cs="Arial"/>
          <w:szCs w:val="24"/>
        </w:rPr>
        <w:t>, 2020</w:t>
      </w:r>
      <w:r w:rsidR="00BA4D0E">
        <w:rPr>
          <w:rFonts w:ascii="Arial" w:hAnsi="Arial" w:cs="Arial"/>
          <w:szCs w:val="24"/>
        </w:rPr>
        <w:t xml:space="preserve">; </w:t>
      </w:r>
      <w:r w:rsidRPr="00312389">
        <w:rPr>
          <w:rFonts w:ascii="Arial" w:hAnsi="Arial" w:cs="Arial"/>
          <w:szCs w:val="24"/>
        </w:rPr>
        <w:t xml:space="preserve">OECD, 2002). </w:t>
      </w:r>
      <w:proofErr w:type="spellStart"/>
      <w:r w:rsidRPr="00312389">
        <w:rPr>
          <w:rFonts w:ascii="Arial" w:hAnsi="Arial" w:cs="Arial"/>
          <w:szCs w:val="24"/>
        </w:rPr>
        <w:t>Azmi</w:t>
      </w:r>
      <w:proofErr w:type="spellEnd"/>
      <w:r w:rsidRPr="00312389">
        <w:rPr>
          <w:rFonts w:ascii="Arial" w:hAnsi="Arial" w:cs="Arial"/>
          <w:szCs w:val="24"/>
        </w:rPr>
        <w:t xml:space="preserve"> and colleagues asserted that the OECD’s 2012 presents the comparison of national cybersecurity strategies to accentuate “a useful source of information and inspiration in the context of the review of the Guidelines.” The critique could be on the submission that the concept of MSGS might provide a balance to processes of profiling, </w:t>
      </w:r>
      <w:r w:rsidR="00BA4D0E" w:rsidRPr="00312389">
        <w:rPr>
          <w:rFonts w:ascii="Arial" w:hAnsi="Arial" w:cs="Arial"/>
          <w:szCs w:val="24"/>
        </w:rPr>
        <w:t>assuring,</w:t>
      </w:r>
      <w:r w:rsidRPr="00312389">
        <w:rPr>
          <w:rFonts w:ascii="Arial" w:hAnsi="Arial" w:cs="Arial"/>
          <w:szCs w:val="24"/>
        </w:rPr>
        <w:t xml:space="preserve"> and delivering cybersecurity</w:t>
      </w:r>
      <w:r w:rsidR="005F7E29">
        <w:rPr>
          <w:rFonts w:ascii="Arial" w:hAnsi="Arial" w:cs="Arial"/>
          <w:szCs w:val="24"/>
        </w:rPr>
        <w:t xml:space="preserve"> (</w:t>
      </w:r>
      <w:proofErr w:type="spellStart"/>
      <w:r w:rsidR="005F7E29">
        <w:rPr>
          <w:rFonts w:ascii="Arial" w:hAnsi="Arial" w:cs="Arial"/>
          <w:szCs w:val="24"/>
        </w:rPr>
        <w:t>Ademola</w:t>
      </w:r>
      <w:proofErr w:type="spellEnd"/>
      <w:r w:rsidR="005F7E29">
        <w:rPr>
          <w:rFonts w:ascii="Arial" w:hAnsi="Arial" w:cs="Arial"/>
          <w:szCs w:val="24"/>
        </w:rPr>
        <w:t>, 2020)</w:t>
      </w:r>
      <w:r w:rsidRPr="00312389">
        <w:rPr>
          <w:rFonts w:ascii="Arial" w:hAnsi="Arial" w:cs="Arial"/>
          <w:szCs w:val="24"/>
        </w:rPr>
        <w:t>. To decision-makers, achieving scalability via scaling is a drive towards more robust evidence-based policy decision-making, as predicated in OECD (2012). Such an approach is also essential to achieving scalability. The guideline emphasises that this could be possible via the culture of cybersecurity as advanced in both OECD's (2002, 2012) guidelines (</w:t>
      </w:r>
      <w:proofErr w:type="spellStart"/>
      <w:r w:rsidR="00732C80">
        <w:rPr>
          <w:rFonts w:ascii="Arial" w:hAnsi="Arial" w:cs="Arial"/>
          <w:szCs w:val="24"/>
        </w:rPr>
        <w:t>Ademola</w:t>
      </w:r>
      <w:proofErr w:type="spellEnd"/>
      <w:r w:rsidR="00732C80">
        <w:rPr>
          <w:rFonts w:ascii="Arial" w:hAnsi="Arial" w:cs="Arial"/>
          <w:szCs w:val="24"/>
        </w:rPr>
        <w:t xml:space="preserve">, 2020; </w:t>
      </w:r>
      <w:proofErr w:type="spellStart"/>
      <w:r w:rsidRPr="00312389">
        <w:rPr>
          <w:rFonts w:ascii="Arial" w:hAnsi="Arial" w:cs="Arial"/>
          <w:szCs w:val="24"/>
        </w:rPr>
        <w:t>Azmi</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2018; </w:t>
      </w:r>
      <w:proofErr w:type="spellStart"/>
      <w:r w:rsidRPr="00312389">
        <w:rPr>
          <w:rFonts w:ascii="Arial" w:hAnsi="Arial" w:cs="Arial"/>
          <w:szCs w:val="24"/>
        </w:rPr>
        <w:t>Pawlak</w:t>
      </w:r>
      <w:proofErr w:type="spellEnd"/>
      <w:r w:rsidRPr="00312389">
        <w:rPr>
          <w:rFonts w:ascii="Arial" w:hAnsi="Arial" w:cs="Arial"/>
          <w:szCs w:val="24"/>
        </w:rPr>
        <w:t xml:space="preserve"> and </w:t>
      </w:r>
      <w:proofErr w:type="spellStart"/>
      <w:r w:rsidRPr="00312389">
        <w:rPr>
          <w:rFonts w:ascii="Arial" w:hAnsi="Arial" w:cs="Arial"/>
          <w:szCs w:val="24"/>
        </w:rPr>
        <w:t>Barmpaliou</w:t>
      </w:r>
      <w:proofErr w:type="spellEnd"/>
      <w:r w:rsidRPr="00312389">
        <w:rPr>
          <w:rFonts w:ascii="Arial" w:hAnsi="Arial" w:cs="Arial"/>
          <w:szCs w:val="24"/>
        </w:rPr>
        <w:t xml:space="preserve">, 2017 and </w:t>
      </w:r>
      <w:proofErr w:type="spellStart"/>
      <w:r w:rsidRPr="00312389">
        <w:rPr>
          <w:rFonts w:ascii="Arial" w:hAnsi="Arial" w:cs="Arial"/>
          <w:szCs w:val="24"/>
        </w:rPr>
        <w:t>Tiirmaa-Klaar</w:t>
      </w:r>
      <w:proofErr w:type="spellEnd"/>
      <w:r w:rsidRPr="00312389">
        <w:rPr>
          <w:rFonts w:ascii="Arial" w:hAnsi="Arial" w:cs="Arial"/>
          <w:szCs w:val="24"/>
        </w:rPr>
        <w:t xml:space="preserve">, 2016.  </w:t>
      </w:r>
    </w:p>
    <w:p w14:paraId="749809B7" w14:textId="77777777" w:rsidR="008E52D4" w:rsidRDefault="00314D95" w:rsidP="008E52D4">
      <w:pPr>
        <w:spacing w:line="480" w:lineRule="auto"/>
        <w:ind w:left="-5" w:right="-9" w:firstLine="581"/>
        <w:jc w:val="both"/>
        <w:rPr>
          <w:rFonts w:ascii="Arial" w:hAnsi="Arial" w:cs="Arial"/>
          <w:szCs w:val="24"/>
        </w:rPr>
      </w:pPr>
      <w:r>
        <w:rPr>
          <w:rFonts w:ascii="Arial" w:hAnsi="Arial" w:cs="Arial"/>
          <w:szCs w:val="24"/>
        </w:rPr>
        <w:t>Moreover, t</w:t>
      </w:r>
      <w:r w:rsidR="00D524DB" w:rsidRPr="00312389">
        <w:rPr>
          <w:rFonts w:ascii="Arial" w:hAnsi="Arial" w:cs="Arial"/>
          <w:szCs w:val="24"/>
        </w:rPr>
        <w:t>he ITAC</w:t>
      </w:r>
      <w:r w:rsidR="00D524DB" w:rsidRPr="00312389">
        <w:rPr>
          <w:rFonts w:ascii="Arial" w:eastAsia="Calibri" w:hAnsi="Arial" w:cs="Arial"/>
          <w:szCs w:val="24"/>
        </w:rPr>
        <w:t>​</w:t>
      </w:r>
      <w:r w:rsidR="00D524DB" w:rsidRPr="00312389">
        <w:rPr>
          <w:rFonts w:ascii="Arial" w:hAnsi="Arial" w:cs="Arial"/>
          <w:b/>
          <w:szCs w:val="24"/>
        </w:rPr>
        <w:t>’</w:t>
      </w:r>
      <w:r w:rsidR="00D524DB" w:rsidRPr="00732C80">
        <w:rPr>
          <w:rFonts w:ascii="Arial" w:hAnsi="Arial" w:cs="Arial"/>
          <w:bCs/>
          <w:szCs w:val="24"/>
        </w:rPr>
        <w:t>s</w:t>
      </w:r>
      <w:r w:rsidR="00D524DB" w:rsidRPr="00312389">
        <w:rPr>
          <w:rFonts w:ascii="Arial" w:hAnsi="Arial" w:cs="Arial"/>
          <w:b/>
          <w:szCs w:val="24"/>
        </w:rPr>
        <w:t xml:space="preserve"> </w:t>
      </w:r>
      <w:r w:rsidR="00D524DB" w:rsidRPr="00312389">
        <w:rPr>
          <w:rFonts w:ascii="Arial" w:eastAsia="Calibri" w:hAnsi="Arial" w:cs="Arial"/>
          <w:szCs w:val="24"/>
        </w:rPr>
        <w:t>​</w:t>
      </w:r>
      <w:r w:rsidR="00D524DB" w:rsidRPr="00312389">
        <w:rPr>
          <w:rFonts w:ascii="Arial" w:hAnsi="Arial" w:cs="Arial"/>
          <w:szCs w:val="24"/>
        </w:rPr>
        <w:t xml:space="preserve">response to the OECD’s (2012) analytical report shows that MSGS would be a helpful scaling approach for decision-makers in the achievement of scalability in SMEs. In the OECD (2012), the scaling approach will be the bedrock to a very significant evolution in </w:t>
      </w:r>
      <w:bookmarkStart w:id="21" w:name="_Hlk25659497"/>
      <w:r w:rsidR="00D524DB" w:rsidRPr="00312389">
        <w:rPr>
          <w:rFonts w:ascii="Arial" w:hAnsi="Arial" w:cs="Arial"/>
          <w:szCs w:val="24"/>
        </w:rPr>
        <w:t>government strategies to the adoption of the multi-stakeholder model for policy development</w:t>
      </w:r>
      <w:bookmarkEnd w:id="21"/>
      <w:r w:rsidR="00D524DB" w:rsidRPr="00312389">
        <w:rPr>
          <w:rFonts w:ascii="Arial" w:hAnsi="Arial" w:cs="Arial"/>
          <w:szCs w:val="24"/>
        </w:rPr>
        <w:t xml:space="preserve"> in general. According to </w:t>
      </w:r>
      <w:proofErr w:type="spellStart"/>
      <w:r w:rsidR="00D524DB" w:rsidRPr="00312389">
        <w:rPr>
          <w:rFonts w:ascii="Arial" w:hAnsi="Arial" w:cs="Arial"/>
          <w:szCs w:val="24"/>
        </w:rPr>
        <w:t>Carr</w:t>
      </w:r>
      <w:proofErr w:type="spellEnd"/>
      <w:r w:rsidR="00D524DB" w:rsidRPr="00312389">
        <w:rPr>
          <w:rFonts w:ascii="Arial" w:hAnsi="Arial" w:cs="Arial"/>
          <w:szCs w:val="24"/>
        </w:rPr>
        <w:t xml:space="preserve"> and </w:t>
      </w:r>
      <w:proofErr w:type="spellStart"/>
      <w:r w:rsidR="00D524DB" w:rsidRPr="00312389">
        <w:rPr>
          <w:rFonts w:ascii="Arial" w:hAnsi="Arial" w:cs="Arial"/>
          <w:szCs w:val="24"/>
        </w:rPr>
        <w:t>Tanczer</w:t>
      </w:r>
      <w:proofErr w:type="spellEnd"/>
      <w:r w:rsidR="00D524DB" w:rsidRPr="00312389">
        <w:rPr>
          <w:rFonts w:ascii="Arial" w:hAnsi="Arial" w:cs="Arial"/>
          <w:szCs w:val="24"/>
        </w:rPr>
        <w:t xml:space="preserve"> (2018), market failures occurs as a result of functional declines. Cyber policymakers must be cautious of the data breaches, inadequate private investments, and </w:t>
      </w:r>
      <w:bookmarkStart w:id="22" w:name="_Hlk25659588"/>
      <w:r w:rsidR="00D524DB" w:rsidRPr="00312389">
        <w:rPr>
          <w:rFonts w:ascii="Arial" w:hAnsi="Arial" w:cs="Arial"/>
          <w:szCs w:val="24"/>
        </w:rPr>
        <w:t>a continuous digital skills gap</w:t>
      </w:r>
      <w:bookmarkEnd w:id="22"/>
      <w:r w:rsidR="00D524DB" w:rsidRPr="00312389">
        <w:rPr>
          <w:rFonts w:ascii="Arial" w:hAnsi="Arial" w:cs="Arial"/>
          <w:szCs w:val="24"/>
        </w:rPr>
        <w:t xml:space="preserve">. The authors </w:t>
      </w:r>
      <w:r w:rsidR="00D524DB" w:rsidRPr="00312389">
        <w:rPr>
          <w:rFonts w:ascii="Arial" w:hAnsi="Arial" w:cs="Arial"/>
          <w:szCs w:val="24"/>
        </w:rPr>
        <w:lastRenderedPageBreak/>
        <w:t xml:space="preserve">provide an illustrative case study for the evolution of industrial cybersecurity policy. Theoretically, this </w:t>
      </w:r>
      <w:bookmarkStart w:id="23" w:name="_Hlk25659764"/>
      <w:r w:rsidR="00D524DB" w:rsidRPr="00312389">
        <w:rPr>
          <w:rFonts w:ascii="Arial" w:hAnsi="Arial" w:cs="Arial"/>
          <w:szCs w:val="24"/>
        </w:rPr>
        <w:t>is an attempt to advocate for the achievement of scalability either by scaling up or scaling out automation security architecture in UK sectors.</w:t>
      </w:r>
      <w:bookmarkEnd w:id="23"/>
      <w:r w:rsidR="008E52D4">
        <w:rPr>
          <w:rFonts w:ascii="Arial" w:hAnsi="Arial" w:cs="Arial"/>
          <w:szCs w:val="24"/>
        </w:rPr>
        <w:t xml:space="preserve"> </w:t>
      </w:r>
    </w:p>
    <w:p w14:paraId="26033210" w14:textId="77777777" w:rsidR="008E52D4" w:rsidRDefault="00247698" w:rsidP="008E52D4">
      <w:pPr>
        <w:spacing w:line="480" w:lineRule="auto"/>
        <w:ind w:left="-5" w:right="-9" w:firstLine="581"/>
        <w:jc w:val="both"/>
        <w:rPr>
          <w:rFonts w:ascii="Arial" w:hAnsi="Arial" w:cs="Arial"/>
          <w:color w:val="000000"/>
          <w:szCs w:val="24"/>
        </w:rPr>
      </w:pPr>
      <w:r w:rsidRPr="00007B71">
        <w:rPr>
          <w:rFonts w:ascii="Arial" w:hAnsi="Arial" w:cs="Arial"/>
          <w:color w:val="000000"/>
          <w:szCs w:val="24"/>
        </w:rPr>
        <w:t xml:space="preserve">According to The McKinsey Global Institute (2019), “Process automation at scale is now feasible for most payers.” The analysis shows that Automation at scale is an approach beneficial to payers and decision-makers across business divides either large enterprise or SMEs. </w:t>
      </w:r>
      <w:proofErr w:type="spellStart"/>
      <w:r w:rsidRPr="00007B71">
        <w:rPr>
          <w:rFonts w:ascii="Arial" w:hAnsi="Arial" w:cs="Arial"/>
          <w:color w:val="000000"/>
          <w:szCs w:val="24"/>
        </w:rPr>
        <w:t>Manyika</w:t>
      </w:r>
      <w:proofErr w:type="spellEnd"/>
      <w:r w:rsidRPr="00007B71">
        <w:rPr>
          <w:rFonts w:ascii="Arial" w:hAnsi="Arial" w:cs="Arial"/>
          <w:color w:val="000000"/>
          <w:szCs w:val="24"/>
        </w:rPr>
        <w:t xml:space="preserve"> (2017) indicates that Automation-at-scale could solve the problem associated with increasing cost pressure. The pushing of SMEs to significantly improve business operations even at the business experience of unexpected data breaches. </w:t>
      </w:r>
      <w:proofErr w:type="spellStart"/>
      <w:r w:rsidRPr="00007B71">
        <w:rPr>
          <w:rFonts w:ascii="Arial" w:hAnsi="Arial" w:cs="Arial"/>
          <w:color w:val="000000"/>
          <w:szCs w:val="24"/>
        </w:rPr>
        <w:t>Manyika</w:t>
      </w:r>
      <w:proofErr w:type="spellEnd"/>
      <w:r w:rsidRPr="00007B71">
        <w:rPr>
          <w:rFonts w:ascii="Arial" w:hAnsi="Arial" w:cs="Arial"/>
          <w:color w:val="000000"/>
          <w:szCs w:val="24"/>
        </w:rPr>
        <w:t xml:space="preserve"> noted the benefits of scaling to payers and employers but failed to acknowledge the problem with scaling up. How would the decision-makers find the right balance of resources in the implementation of cyber policy as this remains an extreme difficulty for SMEs? The concept of adding up IT critical infrastructure to achieve a business objective could be a bottleneck. For example, to add more security awareness clauses to an existing policy could directly impact on the cost of implementing such architecture. The theory of unavoidable losses - the dictate of the law of diminishing could kick in quickly. Subsequently, this could cause the value of incremental upgrades to the existing policy to grow exponentially (Porter and Kramer, 2019; see also Sandberg, 2019 and Aldrich and </w:t>
      </w:r>
      <w:proofErr w:type="spellStart"/>
      <w:r w:rsidRPr="00007B71">
        <w:rPr>
          <w:rFonts w:ascii="Arial" w:hAnsi="Arial" w:cs="Arial"/>
          <w:color w:val="000000"/>
          <w:szCs w:val="24"/>
        </w:rPr>
        <w:t>Wiedenmayer</w:t>
      </w:r>
      <w:proofErr w:type="spellEnd"/>
      <w:r w:rsidRPr="00007B71">
        <w:rPr>
          <w:rFonts w:ascii="Arial" w:hAnsi="Arial" w:cs="Arial"/>
          <w:color w:val="000000"/>
          <w:szCs w:val="24"/>
        </w:rPr>
        <w:t>, 2019).</w:t>
      </w:r>
      <w:r w:rsidR="00EE2AAD" w:rsidRPr="00007B71">
        <w:rPr>
          <w:rFonts w:ascii="Arial" w:hAnsi="Arial" w:cs="Arial"/>
          <w:color w:val="000000"/>
          <w:szCs w:val="24"/>
        </w:rPr>
        <w:t xml:space="preserve"> </w:t>
      </w:r>
    </w:p>
    <w:p w14:paraId="45C50743" w14:textId="52FA553F" w:rsidR="00B17894" w:rsidRDefault="00D524DB" w:rsidP="00B17894">
      <w:pPr>
        <w:spacing w:line="480" w:lineRule="auto"/>
        <w:ind w:left="-5" w:right="-9" w:firstLine="581"/>
        <w:jc w:val="both"/>
        <w:rPr>
          <w:rFonts w:ascii="Arial" w:hAnsi="Arial" w:cs="Arial"/>
          <w:szCs w:val="24"/>
        </w:rPr>
      </w:pPr>
      <w:r w:rsidRPr="00312389">
        <w:rPr>
          <w:rFonts w:ascii="Arial" w:hAnsi="Arial" w:cs="Arial"/>
          <w:szCs w:val="24"/>
        </w:rPr>
        <w:t xml:space="preserve">The consideration of the cost-to-benefit ratio will make scaling up a very unattractive option. Scaling out, on the other hand, implies that scaling the security application via scalability mechanism could be possible. For example, by adding more machines to the system and allowing them to share the load within the ITG </w:t>
      </w:r>
      <w:r w:rsidRPr="00312389">
        <w:rPr>
          <w:rFonts w:ascii="Arial" w:hAnsi="Arial" w:cs="Arial"/>
          <w:szCs w:val="24"/>
        </w:rPr>
        <w:lastRenderedPageBreak/>
        <w:t xml:space="preserve">implementation could have the scale up effect. </w:t>
      </w:r>
      <w:proofErr w:type="spellStart"/>
      <w:r w:rsidRPr="00312389">
        <w:rPr>
          <w:rFonts w:ascii="Arial" w:hAnsi="Arial" w:cs="Arial"/>
          <w:szCs w:val="24"/>
        </w:rPr>
        <w:t>Azmi</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(2018) assert a shared concept approach as scaling out and significantly beneficial to decision-makers. </w:t>
      </w:r>
    </w:p>
    <w:p w14:paraId="5CC3FBC2" w14:textId="64D47623" w:rsidR="00C938D6" w:rsidRPr="00312389" w:rsidRDefault="00D524DB" w:rsidP="00B17894">
      <w:pPr>
        <w:spacing w:line="480" w:lineRule="auto"/>
        <w:ind w:left="-5" w:right="-9" w:firstLine="581"/>
        <w:jc w:val="both"/>
        <w:rPr>
          <w:rFonts w:ascii="Arial" w:hAnsi="Arial" w:cs="Arial"/>
          <w:szCs w:val="24"/>
        </w:rPr>
      </w:pPr>
      <w:r w:rsidRPr="00312389">
        <w:rPr>
          <w:rFonts w:ascii="Arial" w:hAnsi="Arial" w:cs="Arial"/>
          <w:szCs w:val="24"/>
        </w:rPr>
        <w:t xml:space="preserve">In November 2011, the UK government published its first National Cyber Security Strategy (NCSS). By implementation, the legislature had numerous proactive and responsive measures to upgrade the two of its cybersecurity abilities. The market control in this area serves as a scaling rule to help cybersecurity chiefs as the legislature will discharge speculations. According to the Cabinet Office (2011, 2016a), £860 million for its National Cyber Security Program (NCSP) for the period from 2011 to 2016 suffices and supported its spending to £1.9 billion for its cybersecurity vision from 2016 to 2021. According to Matthews (2019), the implementation provides for </w:t>
      </w:r>
      <w:bookmarkStart w:id="24" w:name="_Hlk25660191"/>
      <w:r w:rsidRPr="00312389">
        <w:rPr>
          <w:rFonts w:ascii="Arial" w:hAnsi="Arial" w:cs="Arial"/>
          <w:szCs w:val="24"/>
        </w:rPr>
        <w:t>evidence-based policymaking</w:t>
      </w:r>
      <w:bookmarkEnd w:id="24"/>
      <w:r w:rsidRPr="00312389">
        <w:rPr>
          <w:rFonts w:ascii="Arial" w:hAnsi="Arial" w:cs="Arial"/>
          <w:szCs w:val="24"/>
        </w:rPr>
        <w:t>. The author focuses on the centrality of ITG implementation. MSGS advocacy could lean on collaboration by stakeholders. Such provides the strategy - an incorporated for the foundation of another National Cyber Security Centre (NCSC) that goes about as the open arm of GCHQ. UK's MOD concurred with the Cabinet Office another 25% objective for SME obtainment by 2020. The responsibility reflected in the Single Departmental Plan distributed on nineteenth February 2016. The NCSC offers an interface among government and industry and gives direction just as exhortation (</w:t>
      </w:r>
      <w:proofErr w:type="spellStart"/>
      <w:r w:rsidRPr="00312389">
        <w:rPr>
          <w:rFonts w:ascii="Arial" w:hAnsi="Arial" w:cs="Arial"/>
          <w:szCs w:val="24"/>
        </w:rPr>
        <w:t>Carr</w:t>
      </w:r>
      <w:proofErr w:type="spellEnd"/>
      <w:r w:rsidRPr="00312389">
        <w:rPr>
          <w:rFonts w:ascii="Arial" w:hAnsi="Arial" w:cs="Arial"/>
          <w:szCs w:val="24"/>
        </w:rPr>
        <w:t xml:space="preserve"> and </w:t>
      </w:r>
      <w:proofErr w:type="spellStart"/>
      <w:r w:rsidRPr="00312389">
        <w:rPr>
          <w:rFonts w:ascii="Arial" w:hAnsi="Arial" w:cs="Arial"/>
          <w:szCs w:val="24"/>
        </w:rPr>
        <w:t>Tanczer</w:t>
      </w:r>
      <w:proofErr w:type="spellEnd"/>
      <w:r w:rsidRPr="00312389">
        <w:rPr>
          <w:rFonts w:ascii="Arial" w:hAnsi="Arial" w:cs="Arial"/>
          <w:szCs w:val="24"/>
        </w:rPr>
        <w:t xml:space="preserve">, 2018). </w:t>
      </w:r>
    </w:p>
    <w:p w14:paraId="659E25BB" w14:textId="0D42D155" w:rsidR="00C938D6" w:rsidRPr="00312389" w:rsidRDefault="00C938D6" w:rsidP="00D40EBB">
      <w:pPr>
        <w:pStyle w:val="Heading2"/>
        <w:spacing w:line="480" w:lineRule="auto"/>
        <w:rPr>
          <w:rFonts w:ascii="Arial" w:hAnsi="Arial" w:cs="Arial"/>
        </w:rPr>
      </w:pPr>
      <w:bookmarkStart w:id="25" w:name="_Toc72189380"/>
      <w:r w:rsidRPr="00312389">
        <w:rPr>
          <w:rFonts w:ascii="Arial" w:hAnsi="Arial" w:cs="Arial"/>
        </w:rPr>
        <w:t>Scaling as a Security Strategy to support Cyber Policy Decision Makers</w:t>
      </w:r>
      <w:bookmarkEnd w:id="25"/>
    </w:p>
    <w:p w14:paraId="4D5CC69A" w14:textId="677E50CA" w:rsidR="00B17894" w:rsidRDefault="00C938D6" w:rsidP="00B17894">
      <w:pPr>
        <w:spacing w:line="480" w:lineRule="auto"/>
        <w:ind w:firstLine="576"/>
        <w:jc w:val="both"/>
        <w:rPr>
          <w:rFonts w:ascii="Arial" w:eastAsia="Arial" w:hAnsi="Arial" w:cs="Arial"/>
          <w:szCs w:val="24"/>
          <w:lang w:eastAsia="en-GB"/>
        </w:rPr>
      </w:pPr>
      <w:proofErr w:type="spellStart"/>
      <w:r w:rsidRPr="00312389">
        <w:rPr>
          <w:rFonts w:ascii="Arial" w:eastAsia="Arial" w:hAnsi="Arial" w:cs="Arial"/>
          <w:szCs w:val="24"/>
          <w:lang w:eastAsia="en-GB"/>
        </w:rPr>
        <w:t>Ribbers</w:t>
      </w:r>
      <w:proofErr w:type="spellEnd"/>
      <w:r w:rsidRPr="00312389">
        <w:rPr>
          <w:rFonts w:ascii="Arial" w:eastAsia="Arial" w:hAnsi="Arial" w:cs="Arial"/>
          <w:szCs w:val="24"/>
          <w:lang w:eastAsia="en-GB"/>
        </w:rPr>
        <w:t xml:space="preserve">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xml:space="preserve">. (2002) conclude that despite the numerous literatures on ITG, the gap still exists </w:t>
      </w:r>
      <w:bookmarkStart w:id="26" w:name="_Hlk25666871"/>
      <w:r w:rsidRPr="00312389">
        <w:rPr>
          <w:rFonts w:ascii="Arial" w:eastAsia="Arial" w:hAnsi="Arial" w:cs="Arial"/>
          <w:szCs w:val="24"/>
          <w:lang w:eastAsia="en-GB"/>
        </w:rPr>
        <w:t>on the practical implementation of the available models tailored to specific industrial sectors.</w:t>
      </w:r>
      <w:bookmarkEnd w:id="26"/>
      <w:r w:rsidRPr="00312389">
        <w:rPr>
          <w:rFonts w:ascii="Arial" w:eastAsia="Arial" w:hAnsi="Arial" w:cs="Arial"/>
          <w:szCs w:val="24"/>
          <w:lang w:eastAsia="en-GB"/>
        </w:rPr>
        <w:t xml:space="preserve"> The extensive theoretical frameworks mostly patterned </w:t>
      </w:r>
      <w:r w:rsidRPr="00312389">
        <w:rPr>
          <w:rFonts w:ascii="Arial" w:eastAsia="Arial" w:hAnsi="Arial" w:cs="Arial"/>
          <w:szCs w:val="24"/>
          <w:lang w:eastAsia="en-GB"/>
        </w:rPr>
        <w:lastRenderedPageBreak/>
        <w:t xml:space="preserve">around the theories while there </w:t>
      </w:r>
      <w:bookmarkStart w:id="27" w:name="_Hlk25668061"/>
      <w:r w:rsidRPr="00312389">
        <w:rPr>
          <w:rFonts w:ascii="Arial" w:eastAsia="Arial" w:hAnsi="Arial" w:cs="Arial"/>
          <w:szCs w:val="24"/>
          <w:lang w:eastAsia="en-GB"/>
        </w:rPr>
        <w:t>is little on the actual processes involved with ITG</w:t>
      </w:r>
      <w:bookmarkEnd w:id="27"/>
      <w:r w:rsidRPr="00312389">
        <w:rPr>
          <w:rFonts w:ascii="Arial" w:eastAsia="Arial" w:hAnsi="Arial" w:cs="Arial"/>
          <w:szCs w:val="24"/>
          <w:lang w:eastAsia="en-GB"/>
        </w:rPr>
        <w:t xml:space="preserve">. Mainly, the models do not suffice how the processes translate to contemporary practice. Over the last five decades, the three primary schools of thought on ITG in the literature still prevails – (1) ITG as a framework or an audit process, (2) ITG as IT decision-making, and (3) ITG as a branch of corporate governance. Nonetheless, it appears that the primary schools of thought show some emergent theories of corporate strategies. In general, it rarely includes security strategy (Lynch and Smith, 2006; see also Doyle, 1989 and </w:t>
      </w:r>
      <w:proofErr w:type="spellStart"/>
      <w:r w:rsidRPr="00312389">
        <w:rPr>
          <w:rFonts w:ascii="Arial" w:eastAsia="Arial" w:hAnsi="Arial" w:cs="Arial"/>
          <w:szCs w:val="24"/>
          <w:lang w:eastAsia="en-GB"/>
        </w:rPr>
        <w:t>Badr</w:t>
      </w:r>
      <w:proofErr w:type="spellEnd"/>
      <w:r w:rsidRPr="00312389">
        <w:rPr>
          <w:rFonts w:ascii="Arial" w:eastAsia="Arial" w:hAnsi="Arial" w:cs="Arial"/>
          <w:szCs w:val="24"/>
          <w:lang w:eastAsia="en-GB"/>
        </w:rPr>
        <w:t xml:space="preserve">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2010). Notwithstanding, the provisions of the main theories of corporate strategy (</w:t>
      </w:r>
      <w:proofErr w:type="spellStart"/>
      <w:r w:rsidRPr="00312389">
        <w:rPr>
          <w:rFonts w:ascii="Arial" w:eastAsia="Arial" w:hAnsi="Arial" w:cs="Arial"/>
          <w:szCs w:val="24"/>
          <w:lang w:eastAsia="en-GB"/>
        </w:rPr>
        <w:t>Ribbers</w:t>
      </w:r>
      <w:proofErr w:type="spellEnd"/>
      <w:r w:rsidRPr="00312389">
        <w:rPr>
          <w:rFonts w:ascii="Arial" w:eastAsia="Arial" w:hAnsi="Arial" w:cs="Arial"/>
          <w:szCs w:val="24"/>
          <w:lang w:eastAsia="en-GB"/>
        </w:rPr>
        <w:t xml:space="preserve">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xml:space="preserve">., 2002), in the 1970’s, analysis show that there is a rare correlation between the comparative industrial policy and security ( Aggarwal and </w:t>
      </w:r>
      <w:proofErr w:type="spellStart"/>
      <w:r w:rsidRPr="00312389">
        <w:rPr>
          <w:rFonts w:ascii="Arial" w:eastAsia="Arial" w:hAnsi="Arial" w:cs="Arial"/>
          <w:szCs w:val="24"/>
          <w:lang w:eastAsia="en-GB"/>
        </w:rPr>
        <w:t>Reddie</w:t>
      </w:r>
      <w:proofErr w:type="spellEnd"/>
      <w:r w:rsidRPr="00312389">
        <w:rPr>
          <w:rFonts w:ascii="Arial" w:eastAsia="Arial" w:hAnsi="Arial" w:cs="Arial"/>
          <w:szCs w:val="24"/>
          <w:lang w:eastAsia="en-GB"/>
        </w:rPr>
        <w:t xml:space="preserve">, 2018; see also Singh and Montgomery, 1987 and Zheng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xml:space="preserve">., 2016). </w:t>
      </w:r>
    </w:p>
    <w:p w14:paraId="1C92044B" w14:textId="23E8F2AF" w:rsidR="00EC4763" w:rsidRDefault="00C938D6" w:rsidP="00EC4763">
      <w:pPr>
        <w:spacing w:line="480" w:lineRule="auto"/>
        <w:ind w:firstLine="576"/>
        <w:jc w:val="both"/>
        <w:rPr>
          <w:rFonts w:ascii="Arial" w:eastAsia="Arial" w:hAnsi="Arial" w:cs="Arial"/>
          <w:szCs w:val="24"/>
          <w:lang w:eastAsia="en-GB"/>
        </w:rPr>
      </w:pPr>
      <w:r w:rsidRPr="00312389">
        <w:rPr>
          <w:rFonts w:ascii="Arial" w:eastAsia="Arial" w:hAnsi="Arial" w:cs="Arial"/>
          <w:szCs w:val="24"/>
          <w:lang w:eastAsia="en-GB"/>
        </w:rPr>
        <w:t xml:space="preserve">Furthermore, some writers suggest that ITG frameworks implemented by </w:t>
      </w:r>
      <w:bookmarkStart w:id="28" w:name="_Hlk25667375"/>
      <w:r w:rsidRPr="00312389">
        <w:rPr>
          <w:rFonts w:ascii="Arial" w:eastAsia="Arial" w:hAnsi="Arial" w:cs="Arial"/>
          <w:szCs w:val="24"/>
          <w:lang w:eastAsia="en-GB"/>
        </w:rPr>
        <w:t>middle managers are to facilitate the associated IT management processes and related internal IT controls</w:t>
      </w:r>
      <w:bookmarkEnd w:id="28"/>
      <w:r w:rsidRPr="00312389">
        <w:rPr>
          <w:rFonts w:ascii="Arial" w:eastAsia="Arial" w:hAnsi="Arial" w:cs="Arial"/>
          <w:szCs w:val="24"/>
          <w:lang w:eastAsia="en-GB"/>
        </w:rPr>
        <w:t xml:space="preserve">. (e.g. </w:t>
      </w:r>
      <w:proofErr w:type="spellStart"/>
      <w:r w:rsidRPr="00312389">
        <w:rPr>
          <w:rFonts w:ascii="Arial" w:eastAsia="Arial" w:hAnsi="Arial" w:cs="Arial"/>
          <w:szCs w:val="24"/>
          <w:lang w:eastAsia="en-GB"/>
        </w:rPr>
        <w:t>Rahimi</w:t>
      </w:r>
      <w:proofErr w:type="spellEnd"/>
      <w:r w:rsidRPr="00312389">
        <w:rPr>
          <w:rFonts w:ascii="Arial" w:eastAsia="Arial" w:hAnsi="Arial" w:cs="Arial"/>
          <w:szCs w:val="24"/>
          <w:lang w:eastAsia="en-GB"/>
        </w:rPr>
        <w:t xml:space="preserve">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xml:space="preserve">., 2016; see also Bergeron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xml:space="preserve">., 2017 and </w:t>
      </w:r>
      <w:proofErr w:type="spellStart"/>
      <w:r w:rsidRPr="00312389">
        <w:rPr>
          <w:rFonts w:ascii="Arial" w:eastAsia="Arial" w:hAnsi="Arial" w:cs="Arial"/>
          <w:szCs w:val="24"/>
          <w:lang w:eastAsia="en-GB"/>
        </w:rPr>
        <w:t>Nicho</w:t>
      </w:r>
      <w:proofErr w:type="spellEnd"/>
      <w:r w:rsidRPr="00312389">
        <w:rPr>
          <w:rFonts w:ascii="Arial" w:eastAsia="Arial" w:hAnsi="Arial" w:cs="Arial"/>
          <w:szCs w:val="24"/>
          <w:lang w:eastAsia="en-GB"/>
        </w:rPr>
        <w:t xml:space="preserve">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2017). Such a view of ITG reinforces the needs for regulatory controls and privacy (</w:t>
      </w:r>
      <w:proofErr w:type="spellStart"/>
      <w:r w:rsidRPr="00312389">
        <w:rPr>
          <w:rFonts w:ascii="Arial" w:eastAsia="Arial" w:hAnsi="Arial" w:cs="Arial"/>
          <w:szCs w:val="24"/>
          <w:lang w:eastAsia="en-GB"/>
        </w:rPr>
        <w:t>Eastin</w:t>
      </w:r>
      <w:proofErr w:type="spellEnd"/>
      <w:r w:rsidRPr="00312389">
        <w:rPr>
          <w:rFonts w:ascii="Arial" w:eastAsia="Arial" w:hAnsi="Arial" w:cs="Arial"/>
          <w:szCs w:val="24"/>
          <w:lang w:eastAsia="en-GB"/>
        </w:rPr>
        <w:t xml:space="preserve">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xml:space="preserve">., 2016). Dynamically, such reinforcement underscores a move away from achieving corporate governance through voluntary disclosure, and towards the regulation of exposure and, more generally, corporate conduct with effective industrial policy for the digital space (Aggarwal and </w:t>
      </w:r>
      <w:proofErr w:type="spellStart"/>
      <w:r w:rsidRPr="00312389">
        <w:rPr>
          <w:rFonts w:ascii="Arial" w:eastAsia="Arial" w:hAnsi="Arial" w:cs="Arial"/>
          <w:szCs w:val="24"/>
          <w:lang w:eastAsia="en-GB"/>
        </w:rPr>
        <w:t>Reddie</w:t>
      </w:r>
      <w:proofErr w:type="spellEnd"/>
      <w:r w:rsidRPr="00312389">
        <w:rPr>
          <w:rFonts w:ascii="Arial" w:eastAsia="Arial" w:hAnsi="Arial" w:cs="Arial"/>
          <w:szCs w:val="24"/>
          <w:lang w:eastAsia="en-GB"/>
        </w:rPr>
        <w:t xml:space="preserve">, 2018; see also </w:t>
      </w:r>
      <w:proofErr w:type="spellStart"/>
      <w:r w:rsidRPr="00312389">
        <w:rPr>
          <w:rFonts w:ascii="Arial" w:eastAsia="Arial" w:hAnsi="Arial" w:cs="Arial"/>
          <w:szCs w:val="24"/>
          <w:lang w:eastAsia="en-GB"/>
        </w:rPr>
        <w:t>D’Elia</w:t>
      </w:r>
      <w:proofErr w:type="spellEnd"/>
      <w:r w:rsidRPr="00312389">
        <w:rPr>
          <w:rFonts w:ascii="Arial" w:eastAsia="Arial" w:hAnsi="Arial" w:cs="Arial"/>
          <w:szCs w:val="24"/>
          <w:lang w:eastAsia="en-GB"/>
        </w:rPr>
        <w:t xml:space="preserve">, 2018 and </w:t>
      </w:r>
      <w:proofErr w:type="spellStart"/>
      <w:r w:rsidRPr="00312389">
        <w:rPr>
          <w:rFonts w:ascii="Arial" w:eastAsia="Arial" w:hAnsi="Arial" w:cs="Arial"/>
          <w:szCs w:val="24"/>
          <w:lang w:eastAsia="en-GB"/>
        </w:rPr>
        <w:t>Mosteller</w:t>
      </w:r>
      <w:proofErr w:type="spellEnd"/>
      <w:r w:rsidRPr="00312389">
        <w:rPr>
          <w:rFonts w:ascii="Arial" w:eastAsia="Arial" w:hAnsi="Arial" w:cs="Arial"/>
          <w:szCs w:val="24"/>
          <w:lang w:eastAsia="en-GB"/>
        </w:rPr>
        <w:t xml:space="preserve"> and </w:t>
      </w:r>
      <w:proofErr w:type="spellStart"/>
      <w:r w:rsidRPr="00312389">
        <w:rPr>
          <w:rFonts w:ascii="Arial" w:eastAsia="Arial" w:hAnsi="Arial" w:cs="Arial"/>
          <w:szCs w:val="24"/>
          <w:lang w:eastAsia="en-GB"/>
        </w:rPr>
        <w:t>Poddar</w:t>
      </w:r>
      <w:proofErr w:type="spellEnd"/>
      <w:r w:rsidRPr="00312389">
        <w:rPr>
          <w:rFonts w:ascii="Arial" w:eastAsia="Arial" w:hAnsi="Arial" w:cs="Arial"/>
          <w:szCs w:val="24"/>
          <w:lang w:eastAsia="en-GB"/>
        </w:rPr>
        <w:t>, 2017). The approach places huge security responsibilities on the decision-makers, in the areas of transparency, integrity and accountability in business operations, and the system of internal control (</w:t>
      </w:r>
      <w:proofErr w:type="spellStart"/>
      <w:r w:rsidRPr="00312389">
        <w:rPr>
          <w:rFonts w:ascii="Arial" w:eastAsia="Arial" w:hAnsi="Arial" w:cs="Arial"/>
          <w:szCs w:val="24"/>
          <w:lang w:eastAsia="en-GB"/>
        </w:rPr>
        <w:t>Shirazi</w:t>
      </w:r>
      <w:proofErr w:type="spellEnd"/>
      <w:r w:rsidRPr="00312389">
        <w:rPr>
          <w:rFonts w:ascii="Arial" w:eastAsia="Arial" w:hAnsi="Arial" w:cs="Arial"/>
          <w:szCs w:val="24"/>
          <w:lang w:eastAsia="en-GB"/>
        </w:rPr>
        <w:t xml:space="preserve">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xml:space="preserve">., 2017; de Mingo and </w:t>
      </w:r>
      <w:proofErr w:type="spellStart"/>
      <w:r w:rsidRPr="00312389">
        <w:rPr>
          <w:rFonts w:ascii="Arial" w:eastAsia="Arial" w:hAnsi="Arial" w:cs="Arial"/>
          <w:szCs w:val="24"/>
          <w:lang w:eastAsia="en-GB"/>
        </w:rPr>
        <w:t>Cerrillo-i-Martínez</w:t>
      </w:r>
      <w:proofErr w:type="spellEnd"/>
      <w:r w:rsidRPr="00312389">
        <w:rPr>
          <w:rFonts w:ascii="Arial" w:eastAsia="Arial" w:hAnsi="Arial" w:cs="Arial"/>
          <w:szCs w:val="24"/>
          <w:lang w:eastAsia="en-GB"/>
        </w:rPr>
        <w:t>, 2018). However, the approach could deal only with a small part of the total ITG obligations of decision-</w:t>
      </w:r>
      <w:r w:rsidRPr="00312389">
        <w:rPr>
          <w:rFonts w:ascii="Arial" w:eastAsia="Arial" w:hAnsi="Arial" w:cs="Arial"/>
          <w:szCs w:val="24"/>
          <w:lang w:eastAsia="en-GB"/>
        </w:rPr>
        <w:lastRenderedPageBreak/>
        <w:t xml:space="preserve">makers; primarily those with verification responsibility like </w:t>
      </w:r>
      <w:proofErr w:type="spellStart"/>
      <w:r w:rsidRPr="00312389">
        <w:rPr>
          <w:rFonts w:ascii="Arial" w:eastAsia="Arial" w:hAnsi="Arial" w:cs="Arial"/>
          <w:szCs w:val="24"/>
          <w:lang w:eastAsia="en-GB"/>
        </w:rPr>
        <w:t>CoBIT</w:t>
      </w:r>
      <w:proofErr w:type="spellEnd"/>
      <w:r w:rsidRPr="00312389">
        <w:rPr>
          <w:rFonts w:ascii="Arial" w:eastAsia="Arial" w:hAnsi="Arial" w:cs="Arial"/>
          <w:szCs w:val="24"/>
          <w:lang w:eastAsia="en-GB"/>
        </w:rPr>
        <w:t>, ITIL, ISO/IEC 27001 (2005a), ISO/IEC 17799 (2005b), BS 7799 (2000) (</w:t>
      </w:r>
      <w:proofErr w:type="spellStart"/>
      <w:r w:rsidRPr="00312389">
        <w:rPr>
          <w:rFonts w:ascii="Arial" w:eastAsia="Arial" w:hAnsi="Arial" w:cs="Arial"/>
          <w:szCs w:val="24"/>
          <w:lang w:eastAsia="en-GB"/>
        </w:rPr>
        <w:t>Aasi</w:t>
      </w:r>
      <w:proofErr w:type="spellEnd"/>
      <w:r w:rsidRPr="00312389">
        <w:rPr>
          <w:rFonts w:ascii="Arial" w:eastAsia="Arial" w:hAnsi="Arial" w:cs="Arial"/>
          <w:szCs w:val="24"/>
          <w:lang w:eastAsia="en-GB"/>
        </w:rPr>
        <w:t xml:space="preserve">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2017). These structures are not elective medications of similar issues; without a doubt, there is little cover between them. Most of the writing worried about these systems is down to earth in nature; there is a rare discussion of them in scholarly literature.</w:t>
      </w:r>
    </w:p>
    <w:p w14:paraId="27ACE10C" w14:textId="47438C3E" w:rsidR="00EC4763" w:rsidRDefault="00024318" w:rsidP="00EC4763">
      <w:pPr>
        <w:spacing w:line="480" w:lineRule="auto"/>
        <w:ind w:firstLine="576"/>
        <w:jc w:val="both"/>
        <w:rPr>
          <w:rFonts w:ascii="Arial" w:hAnsi="Arial" w:cs="Arial"/>
          <w:color w:val="000000"/>
          <w:szCs w:val="24"/>
        </w:rPr>
      </w:pPr>
      <w:proofErr w:type="spellStart"/>
      <w:r w:rsidRPr="00706280">
        <w:rPr>
          <w:rFonts w:ascii="Arial" w:hAnsi="Arial" w:cs="Arial"/>
          <w:color w:val="000000"/>
          <w:szCs w:val="24"/>
        </w:rPr>
        <w:t>CoBIT</w:t>
      </w:r>
      <w:proofErr w:type="spellEnd"/>
      <w:r w:rsidRPr="00706280">
        <w:rPr>
          <w:rFonts w:ascii="Arial" w:hAnsi="Arial" w:cs="Arial"/>
          <w:color w:val="000000"/>
          <w:szCs w:val="24"/>
        </w:rPr>
        <w:t xml:space="preserve"> is </w:t>
      </w:r>
      <w:r w:rsidR="00687231">
        <w:rPr>
          <w:rFonts w:ascii="Arial" w:hAnsi="Arial" w:cs="Arial"/>
          <w:color w:val="000000"/>
          <w:szCs w:val="24"/>
        </w:rPr>
        <w:t xml:space="preserve">designed as </w:t>
      </w:r>
      <w:r w:rsidRPr="00706280">
        <w:rPr>
          <w:rFonts w:ascii="Arial" w:hAnsi="Arial" w:cs="Arial"/>
          <w:color w:val="000000"/>
          <w:szCs w:val="24"/>
        </w:rPr>
        <w:t xml:space="preserve">a restrictive way to deal with executing and assessing controls in the IT setting (ITGI, 2002; </w:t>
      </w:r>
      <w:proofErr w:type="spellStart"/>
      <w:r w:rsidRPr="00706280">
        <w:rPr>
          <w:rFonts w:ascii="Arial" w:hAnsi="Arial" w:cs="Arial"/>
          <w:color w:val="000000"/>
          <w:szCs w:val="24"/>
        </w:rPr>
        <w:t>Ştefănescu</w:t>
      </w:r>
      <w:proofErr w:type="spellEnd"/>
      <w:r w:rsidRPr="00706280">
        <w:rPr>
          <w:rFonts w:ascii="Arial" w:hAnsi="Arial" w:cs="Arial"/>
          <w:color w:val="000000"/>
          <w:szCs w:val="24"/>
        </w:rPr>
        <w:t xml:space="preserve">, 2015). It is a regularising structure of 34 in general control targets. These partitioned into a chain of command of auditable procedures planned to help a sum of 318 point by point control destinations. </w:t>
      </w:r>
      <w:proofErr w:type="spellStart"/>
      <w:r w:rsidRPr="00706280">
        <w:rPr>
          <w:rFonts w:ascii="Arial" w:hAnsi="Arial" w:cs="Arial"/>
          <w:color w:val="000000"/>
          <w:szCs w:val="24"/>
        </w:rPr>
        <w:t>CoBIT</w:t>
      </w:r>
      <w:proofErr w:type="spellEnd"/>
      <w:r w:rsidRPr="00706280">
        <w:rPr>
          <w:rFonts w:ascii="Arial" w:hAnsi="Arial" w:cs="Arial"/>
          <w:color w:val="000000"/>
          <w:szCs w:val="24"/>
        </w:rPr>
        <w:t xml:space="preserve"> gives various devices to help with overseeing IT. The implementation includes that of measures and essential achievement factors for the administration procedures, and development models to push associations to benchmark their exhibition in dealing with their IT environment. The </w:t>
      </w:r>
      <w:proofErr w:type="spellStart"/>
      <w:r w:rsidRPr="00706280">
        <w:rPr>
          <w:rFonts w:ascii="Arial" w:hAnsi="Arial" w:cs="Arial"/>
          <w:color w:val="000000"/>
          <w:szCs w:val="24"/>
        </w:rPr>
        <w:t>CoBIT</w:t>
      </w:r>
      <w:proofErr w:type="spellEnd"/>
      <w:r w:rsidRPr="00706280">
        <w:rPr>
          <w:rFonts w:ascii="Arial" w:hAnsi="Arial" w:cs="Arial"/>
          <w:color w:val="000000"/>
          <w:szCs w:val="24"/>
        </w:rPr>
        <w:t xml:space="preserve"> perspective on IT administration helps to ensure that IT conveys an incentive to the business and in relieved of IT challenges (ITGI, 2002; Delgado and </w:t>
      </w:r>
      <w:proofErr w:type="spellStart"/>
      <w:r w:rsidRPr="00706280">
        <w:rPr>
          <w:rFonts w:ascii="Arial" w:hAnsi="Arial" w:cs="Arial"/>
          <w:color w:val="000000"/>
          <w:szCs w:val="24"/>
        </w:rPr>
        <w:t>Velthuis</w:t>
      </w:r>
      <w:proofErr w:type="spellEnd"/>
      <w:r w:rsidRPr="00706280">
        <w:rPr>
          <w:rFonts w:ascii="Arial" w:hAnsi="Arial" w:cs="Arial"/>
          <w:color w:val="000000"/>
          <w:szCs w:val="24"/>
        </w:rPr>
        <w:t>, 2015).</w:t>
      </w:r>
      <w:r w:rsidR="00706280" w:rsidRPr="00706280">
        <w:rPr>
          <w:rFonts w:ascii="Arial" w:hAnsi="Arial" w:cs="Arial"/>
          <w:color w:val="000000"/>
          <w:szCs w:val="24"/>
        </w:rPr>
        <w:t xml:space="preserve"> </w:t>
      </w:r>
    </w:p>
    <w:p w14:paraId="6A5B4237" w14:textId="36CD20B3" w:rsidR="00EC4763" w:rsidRDefault="00C938D6" w:rsidP="00EC4763">
      <w:pPr>
        <w:spacing w:line="480" w:lineRule="auto"/>
        <w:ind w:firstLine="576"/>
        <w:jc w:val="both"/>
        <w:rPr>
          <w:rFonts w:ascii="Arial" w:eastAsia="Arial" w:hAnsi="Arial" w:cs="Arial"/>
          <w:color w:val="000000"/>
          <w:szCs w:val="24"/>
          <w:lang w:eastAsia="en-GB"/>
        </w:rPr>
      </w:pPr>
      <w:proofErr w:type="spellStart"/>
      <w:r w:rsidRPr="00312389">
        <w:rPr>
          <w:rFonts w:ascii="Arial" w:eastAsia="Arial" w:hAnsi="Arial" w:cs="Arial"/>
          <w:szCs w:val="24"/>
          <w:lang w:eastAsia="en-GB"/>
        </w:rPr>
        <w:t>CoBIT</w:t>
      </w:r>
      <w:proofErr w:type="spellEnd"/>
      <w:r w:rsidRPr="00312389">
        <w:rPr>
          <w:rFonts w:ascii="Arial" w:eastAsia="Arial" w:hAnsi="Arial" w:cs="Arial"/>
          <w:szCs w:val="24"/>
          <w:lang w:eastAsia="en-GB"/>
        </w:rPr>
        <w:t xml:space="preserve"> is helpful as a guide to operational supervisors executing an IT anticipation. Mainly as an apparatus for evaluating the arrangement of business alignment and IT targets (</w:t>
      </w:r>
      <w:proofErr w:type="spellStart"/>
      <w:r w:rsidRPr="00312389">
        <w:rPr>
          <w:rFonts w:ascii="Arial" w:eastAsia="Arial" w:hAnsi="Arial" w:cs="Arial"/>
          <w:szCs w:val="24"/>
          <w:lang w:eastAsia="en-GB"/>
        </w:rPr>
        <w:t>Mora</w:t>
      </w:r>
      <w:proofErr w:type="spellEnd"/>
      <w:r w:rsidRPr="00312389">
        <w:rPr>
          <w:rFonts w:ascii="Arial" w:eastAsia="Arial" w:hAnsi="Arial" w:cs="Arial"/>
          <w:szCs w:val="24"/>
          <w:lang w:eastAsia="en-GB"/>
        </w:rPr>
        <w:t xml:space="preserve">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xml:space="preserve">., 2016; see also </w:t>
      </w:r>
      <w:proofErr w:type="spellStart"/>
      <w:r w:rsidRPr="00312389">
        <w:rPr>
          <w:rFonts w:ascii="Arial" w:eastAsia="Arial" w:hAnsi="Arial" w:cs="Arial"/>
          <w:szCs w:val="24"/>
          <w:lang w:eastAsia="en-GB"/>
        </w:rPr>
        <w:t>Sallé</w:t>
      </w:r>
      <w:proofErr w:type="spellEnd"/>
      <w:r w:rsidRPr="00312389">
        <w:rPr>
          <w:rFonts w:ascii="Arial" w:eastAsia="Arial" w:hAnsi="Arial" w:cs="Arial"/>
          <w:szCs w:val="24"/>
          <w:lang w:eastAsia="en-GB"/>
        </w:rPr>
        <w:t xml:space="preserve">, 2004 and Tan </w:t>
      </w:r>
      <w:r w:rsidR="00B50415" w:rsidRPr="00B50415">
        <w:rPr>
          <w:rFonts w:ascii="Arial" w:eastAsia="Arial" w:hAnsi="Arial" w:cs="Arial"/>
          <w:i/>
          <w:iCs/>
          <w:szCs w:val="24"/>
          <w:lang w:eastAsia="en-GB"/>
        </w:rPr>
        <w:t>et al</w:t>
      </w:r>
      <w:r w:rsidRPr="00312389">
        <w:rPr>
          <w:rFonts w:ascii="Arial" w:eastAsia="Arial" w:hAnsi="Arial" w:cs="Arial"/>
          <w:szCs w:val="24"/>
          <w:lang w:eastAsia="en-GB"/>
        </w:rPr>
        <w:t xml:space="preserve">., 2009). The emergence of digital transformation, DevOps, as well as the current business </w:t>
      </w:r>
      <w:r w:rsidRPr="00312389">
        <w:rPr>
          <w:rFonts w:ascii="Arial" w:eastAsia="Arial" w:hAnsi="Arial" w:cs="Arial"/>
          <w:color w:val="000000"/>
          <w:szCs w:val="24"/>
          <w:lang w:eastAsia="en-GB"/>
        </w:rPr>
        <w:t>trend, underpinned by the regular security issues, justify the continue evolution COBIT, to implement a re-alignment. The COBIT®2019 adopt an approach that imbibes the scaling mechanism for the framework to remain relevant. COBIT must continue to evolve, requiring either scaling up for large enterprise or scaling down for SMEs due to more frequent and fluid updates (</w:t>
      </w:r>
      <w:proofErr w:type="spellStart"/>
      <w:r w:rsidRPr="00312389">
        <w:rPr>
          <w:rFonts w:ascii="Arial" w:eastAsia="Arial" w:hAnsi="Arial" w:cs="Arial"/>
          <w:color w:val="000000"/>
          <w:szCs w:val="24"/>
          <w:lang w:eastAsia="en-GB"/>
        </w:rPr>
        <w:t>Olawumi</w:t>
      </w:r>
      <w:proofErr w:type="spellEnd"/>
      <w:r w:rsidRPr="00312389">
        <w:rPr>
          <w:rFonts w:ascii="Arial" w:eastAsia="Arial" w:hAnsi="Arial" w:cs="Arial"/>
          <w:color w:val="000000"/>
          <w:szCs w:val="24"/>
          <w:lang w:eastAsia="en-GB"/>
        </w:rPr>
        <w:t xml:space="preserve"> and Chan, 2019). The COBIT®2019 also present symbolism of continuous security review to </w:t>
      </w:r>
      <w:r w:rsidRPr="00312389">
        <w:rPr>
          <w:rFonts w:ascii="Arial" w:eastAsia="Arial" w:hAnsi="Arial" w:cs="Arial"/>
          <w:color w:val="000000"/>
          <w:szCs w:val="24"/>
          <w:lang w:eastAsia="en-GB"/>
        </w:rPr>
        <w:lastRenderedPageBreak/>
        <w:t>ensure effective version control, upgrades and scaling corresponding to the release of the most updated guidance (</w:t>
      </w:r>
      <w:proofErr w:type="spellStart"/>
      <w:r w:rsidRPr="00312389">
        <w:rPr>
          <w:rFonts w:ascii="Arial" w:eastAsia="Arial" w:hAnsi="Arial" w:cs="Arial"/>
          <w:color w:val="000000"/>
          <w:szCs w:val="24"/>
          <w:lang w:eastAsia="en-GB"/>
        </w:rPr>
        <w:t>Leszczyna</w:t>
      </w:r>
      <w:proofErr w:type="spellEnd"/>
      <w:r w:rsidRPr="00312389">
        <w:rPr>
          <w:rFonts w:ascii="Arial" w:eastAsia="Arial" w:hAnsi="Arial" w:cs="Arial"/>
          <w:color w:val="000000"/>
          <w:szCs w:val="24"/>
          <w:lang w:eastAsia="en-GB"/>
        </w:rPr>
        <w:t xml:space="preserve">, 2018). </w:t>
      </w:r>
    </w:p>
    <w:p w14:paraId="51838193" w14:textId="63B9B1DF" w:rsidR="00687231" w:rsidRDefault="00C938D6" w:rsidP="00687231">
      <w:pPr>
        <w:spacing w:line="480" w:lineRule="auto"/>
        <w:ind w:firstLine="576"/>
        <w:jc w:val="both"/>
        <w:rPr>
          <w:rFonts w:ascii="Arial" w:eastAsia="Arial" w:hAnsi="Arial" w:cs="Arial"/>
          <w:color w:val="000000"/>
          <w:szCs w:val="24"/>
          <w:lang w:eastAsia="en-GB"/>
        </w:rPr>
      </w:pPr>
      <w:r w:rsidRPr="00312389">
        <w:rPr>
          <w:rFonts w:ascii="Arial" w:eastAsia="Arial" w:hAnsi="Arial" w:cs="Arial"/>
          <w:color w:val="000000"/>
          <w:szCs w:val="24"/>
          <w:lang w:eastAsia="en-GB"/>
        </w:rPr>
        <w:t xml:space="preserve">Notwithstanding, one ITG may not provide an alternative in implementation as there is a little element that overlaps between the three as new theories advances (Van </w:t>
      </w:r>
      <w:proofErr w:type="spellStart"/>
      <w:r w:rsidRPr="00312389">
        <w:rPr>
          <w:rFonts w:ascii="Arial" w:eastAsia="Arial" w:hAnsi="Arial" w:cs="Arial"/>
          <w:color w:val="000000"/>
          <w:szCs w:val="24"/>
          <w:lang w:eastAsia="en-GB"/>
        </w:rPr>
        <w:t>Grembergen</w:t>
      </w:r>
      <w:proofErr w:type="spellEnd"/>
      <w:r w:rsidRPr="00312389">
        <w:rPr>
          <w:rFonts w:ascii="Arial" w:eastAsia="Arial" w:hAnsi="Arial" w:cs="Arial"/>
          <w:color w:val="000000"/>
          <w:szCs w:val="24"/>
          <w:lang w:eastAsia="en-GB"/>
        </w:rPr>
        <w:t xml:space="preserve"> </w:t>
      </w:r>
      <w:r w:rsidR="00B50415" w:rsidRPr="00B50415">
        <w:rPr>
          <w:rFonts w:ascii="Arial" w:eastAsia="Arial" w:hAnsi="Arial" w:cs="Arial"/>
          <w:i/>
          <w:iCs/>
          <w:color w:val="000000"/>
          <w:szCs w:val="24"/>
          <w:lang w:eastAsia="en-GB"/>
        </w:rPr>
        <w:t>et al</w:t>
      </w:r>
      <w:r w:rsidRPr="00312389">
        <w:rPr>
          <w:rFonts w:ascii="Arial" w:eastAsia="Arial" w:hAnsi="Arial" w:cs="Arial"/>
          <w:color w:val="000000"/>
          <w:szCs w:val="24"/>
          <w:lang w:eastAsia="en-GB"/>
        </w:rPr>
        <w:t xml:space="preserve">., 2004). The frameworks do not consider the broad perspective on IT administration; instead, they portray one viewpoint or other of the idea (Webb </w:t>
      </w:r>
      <w:r w:rsidR="00B50415" w:rsidRPr="00B50415">
        <w:rPr>
          <w:rFonts w:ascii="Arial" w:eastAsia="Arial" w:hAnsi="Arial" w:cs="Arial"/>
          <w:i/>
          <w:iCs/>
          <w:color w:val="000000"/>
          <w:szCs w:val="24"/>
          <w:lang w:eastAsia="en-GB"/>
        </w:rPr>
        <w:t>et al</w:t>
      </w:r>
      <w:r w:rsidRPr="00312389">
        <w:rPr>
          <w:rFonts w:ascii="Arial" w:eastAsia="Arial" w:hAnsi="Arial" w:cs="Arial"/>
          <w:color w:val="000000"/>
          <w:szCs w:val="24"/>
          <w:lang w:eastAsia="en-GB"/>
        </w:rPr>
        <w:t xml:space="preserve">., 2006; Dahlberg and </w:t>
      </w:r>
      <w:proofErr w:type="spellStart"/>
      <w:r w:rsidRPr="00312389">
        <w:rPr>
          <w:rFonts w:ascii="Arial" w:eastAsia="Arial" w:hAnsi="Arial" w:cs="Arial"/>
          <w:color w:val="000000"/>
          <w:szCs w:val="24"/>
          <w:lang w:eastAsia="en-GB"/>
        </w:rPr>
        <w:t>Kivijarvi</w:t>
      </w:r>
      <w:proofErr w:type="spellEnd"/>
      <w:r w:rsidRPr="00312389">
        <w:rPr>
          <w:rFonts w:ascii="Arial" w:eastAsia="Arial" w:hAnsi="Arial" w:cs="Arial"/>
          <w:color w:val="000000"/>
          <w:szCs w:val="24"/>
          <w:lang w:eastAsia="en-GB"/>
        </w:rPr>
        <w:t>, 2006). The COBIT®2019 structure tends to the most recent technological advances, and security requirements for ventures including other ITG; for example, ITIL, CMMI, and TOGAF. Like COBIT®5, COBIT®2019 likewise underscores explicitly on security, risk management, and data administration. The COBIT®2019 system aides guaranteeing viable EGIT, encouraging simpler, and customised usage. In that capacity, is reinforcing COBIT®'s proceeding as a significant driver of advancement and business change (</w:t>
      </w:r>
      <w:proofErr w:type="spellStart"/>
      <w:r w:rsidRPr="00312389">
        <w:rPr>
          <w:rFonts w:ascii="Arial" w:eastAsia="Arial" w:hAnsi="Arial" w:cs="Arial"/>
          <w:color w:val="000000"/>
          <w:szCs w:val="24"/>
          <w:lang w:eastAsia="en-GB"/>
        </w:rPr>
        <w:t>Leszczyna</w:t>
      </w:r>
      <w:proofErr w:type="spellEnd"/>
      <w:r w:rsidRPr="00312389">
        <w:rPr>
          <w:rFonts w:ascii="Arial" w:eastAsia="Arial" w:hAnsi="Arial" w:cs="Arial"/>
          <w:color w:val="000000"/>
          <w:szCs w:val="24"/>
          <w:lang w:eastAsia="en-GB"/>
        </w:rPr>
        <w:t xml:space="preserve">, 2018; </w:t>
      </w:r>
      <w:proofErr w:type="spellStart"/>
      <w:r w:rsidRPr="00312389">
        <w:rPr>
          <w:rFonts w:ascii="Arial" w:eastAsia="Arial" w:hAnsi="Arial" w:cs="Arial"/>
          <w:color w:val="000000"/>
          <w:szCs w:val="24"/>
          <w:lang w:eastAsia="en-GB"/>
        </w:rPr>
        <w:t>Olawumi</w:t>
      </w:r>
      <w:proofErr w:type="spellEnd"/>
      <w:r w:rsidRPr="00312389">
        <w:rPr>
          <w:rFonts w:ascii="Arial" w:eastAsia="Arial" w:hAnsi="Arial" w:cs="Arial"/>
          <w:color w:val="000000"/>
          <w:szCs w:val="24"/>
          <w:lang w:eastAsia="en-GB"/>
        </w:rPr>
        <w:t xml:space="preserve"> and Chan, 2019).</w:t>
      </w:r>
      <w:r w:rsidR="00687231">
        <w:rPr>
          <w:rFonts w:ascii="Arial" w:eastAsia="Arial" w:hAnsi="Arial" w:cs="Arial"/>
          <w:color w:val="000000"/>
          <w:szCs w:val="24"/>
          <w:lang w:eastAsia="en-GB"/>
        </w:rPr>
        <w:t xml:space="preserve"> </w:t>
      </w:r>
    </w:p>
    <w:p w14:paraId="37073809" w14:textId="1EAB36B4" w:rsidR="00AC3007" w:rsidRDefault="000C799C" w:rsidP="00AC3007">
      <w:pPr>
        <w:spacing w:line="480" w:lineRule="auto"/>
        <w:ind w:firstLine="576"/>
        <w:jc w:val="both"/>
        <w:rPr>
          <w:rFonts w:ascii="Arial" w:hAnsi="Arial" w:cs="Arial"/>
          <w:color w:val="000000"/>
          <w:szCs w:val="24"/>
        </w:rPr>
      </w:pPr>
      <w:r w:rsidRPr="000C799C">
        <w:rPr>
          <w:rFonts w:ascii="Arial" w:hAnsi="Arial" w:cs="Arial"/>
          <w:color w:val="000000"/>
          <w:szCs w:val="24"/>
        </w:rPr>
        <w:t>ITIL by design, is for evaluating the IT exercises of government organisations (</w:t>
      </w:r>
      <w:proofErr w:type="spellStart"/>
      <w:r w:rsidRPr="000C799C">
        <w:rPr>
          <w:rFonts w:ascii="Arial" w:hAnsi="Arial" w:cs="Arial"/>
          <w:color w:val="000000"/>
          <w:szCs w:val="24"/>
        </w:rPr>
        <w:t>Sallé</w:t>
      </w:r>
      <w:proofErr w:type="spellEnd"/>
      <w:r w:rsidRPr="000C799C">
        <w:rPr>
          <w:rFonts w:ascii="Arial" w:hAnsi="Arial" w:cs="Arial"/>
          <w:color w:val="000000"/>
          <w:szCs w:val="24"/>
        </w:rPr>
        <w:t xml:space="preserve">, 2004; Tan </w:t>
      </w:r>
      <w:r w:rsidR="00B50415" w:rsidRPr="00B50415">
        <w:rPr>
          <w:rFonts w:ascii="Arial" w:hAnsi="Arial" w:cs="Arial"/>
          <w:i/>
          <w:iCs/>
          <w:color w:val="000000"/>
          <w:szCs w:val="24"/>
        </w:rPr>
        <w:t>et al</w:t>
      </w:r>
      <w:r w:rsidRPr="000C799C">
        <w:rPr>
          <w:rFonts w:ascii="Arial" w:hAnsi="Arial" w:cs="Arial"/>
          <w:color w:val="000000"/>
          <w:szCs w:val="24"/>
        </w:rPr>
        <w:t>., 2009). The ITIL library is a set of "best practice" guidelines for IT administration for the executives. ITIL is worried about the fundamental of business procedures expected to give astounding IT administrations (</w:t>
      </w:r>
      <w:proofErr w:type="spellStart"/>
      <w:r w:rsidRPr="000C799C">
        <w:rPr>
          <w:rFonts w:ascii="Arial" w:hAnsi="Arial" w:cs="Arial"/>
          <w:color w:val="000000"/>
          <w:szCs w:val="24"/>
        </w:rPr>
        <w:t>Iden</w:t>
      </w:r>
      <w:proofErr w:type="spellEnd"/>
      <w:r w:rsidRPr="000C799C">
        <w:rPr>
          <w:rFonts w:ascii="Arial" w:hAnsi="Arial" w:cs="Arial"/>
          <w:color w:val="000000"/>
          <w:szCs w:val="24"/>
        </w:rPr>
        <w:t xml:space="preserve">, 2009; Cater-Steel and </w:t>
      </w:r>
      <w:proofErr w:type="spellStart"/>
      <w:r w:rsidRPr="000C799C">
        <w:rPr>
          <w:rFonts w:ascii="Arial" w:hAnsi="Arial" w:cs="Arial"/>
          <w:color w:val="000000"/>
          <w:szCs w:val="24"/>
        </w:rPr>
        <w:t>Toleman</w:t>
      </w:r>
      <w:proofErr w:type="spellEnd"/>
      <w:r w:rsidRPr="000C799C">
        <w:rPr>
          <w:rFonts w:ascii="Arial" w:hAnsi="Arial" w:cs="Arial"/>
          <w:color w:val="000000"/>
          <w:szCs w:val="24"/>
        </w:rPr>
        <w:t>, 2010). However, it does not fret about strategic key issues (</w:t>
      </w:r>
      <w:proofErr w:type="spellStart"/>
      <w:r w:rsidRPr="000C799C">
        <w:rPr>
          <w:rFonts w:ascii="Arial" w:hAnsi="Arial" w:cs="Arial"/>
          <w:color w:val="000000"/>
          <w:szCs w:val="24"/>
        </w:rPr>
        <w:t>Sallé</w:t>
      </w:r>
      <w:proofErr w:type="spellEnd"/>
      <w:r w:rsidRPr="000C799C">
        <w:rPr>
          <w:rFonts w:ascii="Arial" w:hAnsi="Arial" w:cs="Arial"/>
          <w:color w:val="000000"/>
          <w:szCs w:val="24"/>
        </w:rPr>
        <w:t xml:space="preserve">, 2004; Tan </w:t>
      </w:r>
      <w:r w:rsidR="00B50415" w:rsidRPr="00B50415">
        <w:rPr>
          <w:rFonts w:ascii="Arial" w:hAnsi="Arial" w:cs="Arial"/>
          <w:i/>
          <w:iCs/>
          <w:color w:val="000000"/>
          <w:szCs w:val="24"/>
        </w:rPr>
        <w:t>et al</w:t>
      </w:r>
      <w:r w:rsidRPr="000C799C">
        <w:rPr>
          <w:rFonts w:ascii="Arial" w:hAnsi="Arial" w:cs="Arial"/>
          <w:color w:val="000000"/>
          <w:szCs w:val="24"/>
        </w:rPr>
        <w:t xml:space="preserve">., 2009). ITG reports show there is a veritable industry in programming devices, accreditation, review, preparing and counselling on ITIL ISO/IEC 27001 (2005a), ISO/IEC 17799 (2005b) and BS7799-2 (2000). The framework helps to accentuate a scaling approach for ITG strategists as these models focus on Information Security Management. Such ITG is for specialised decision-makers to oversee, starting, executing, and keeping up data security </w:t>
      </w:r>
      <w:r w:rsidRPr="000C799C">
        <w:rPr>
          <w:rFonts w:ascii="Arial" w:hAnsi="Arial" w:cs="Arial"/>
          <w:color w:val="000000"/>
          <w:szCs w:val="24"/>
        </w:rPr>
        <w:lastRenderedPageBreak/>
        <w:t>inside their associations (</w:t>
      </w:r>
      <w:proofErr w:type="spellStart"/>
      <w:r w:rsidRPr="000C799C">
        <w:rPr>
          <w:rFonts w:ascii="Arial" w:hAnsi="Arial" w:cs="Arial"/>
          <w:color w:val="000000"/>
          <w:szCs w:val="24"/>
        </w:rPr>
        <w:t>Rahimi</w:t>
      </w:r>
      <w:proofErr w:type="spellEnd"/>
      <w:r w:rsidRPr="000C799C">
        <w:rPr>
          <w:rFonts w:ascii="Arial" w:hAnsi="Arial" w:cs="Arial"/>
          <w:color w:val="000000"/>
          <w:szCs w:val="24"/>
        </w:rPr>
        <w:t xml:space="preserve"> </w:t>
      </w:r>
      <w:r w:rsidR="00B50415" w:rsidRPr="00B50415">
        <w:rPr>
          <w:rFonts w:ascii="Arial" w:hAnsi="Arial" w:cs="Arial"/>
          <w:i/>
          <w:iCs/>
          <w:color w:val="000000"/>
          <w:szCs w:val="24"/>
        </w:rPr>
        <w:t>et al</w:t>
      </w:r>
      <w:r w:rsidRPr="000C799C">
        <w:rPr>
          <w:rFonts w:ascii="Arial" w:hAnsi="Arial" w:cs="Arial"/>
          <w:color w:val="000000"/>
          <w:szCs w:val="24"/>
        </w:rPr>
        <w:t>., 2016). Further, ISO/IEC 27001:2005 (ISO 2005a) as detailing for data security within the IT security framework as well as ISO/IEC 17799:2005 (ISO, 2005b) for the code of training for actualising information security within the extensive framework. ISO/IEC 27001 as a security ITG, provide business with the opportunity for information security and safety confirmed by autonomous assessor against the prerequisites of the Standard.</w:t>
      </w:r>
      <w:r w:rsidR="00B770D9">
        <w:rPr>
          <w:rFonts w:ascii="Arial" w:hAnsi="Arial" w:cs="Arial"/>
          <w:color w:val="000000"/>
          <w:szCs w:val="24"/>
        </w:rPr>
        <w:t xml:space="preserve"> </w:t>
      </w:r>
    </w:p>
    <w:p w14:paraId="40AA0E3D" w14:textId="16E945BE" w:rsidR="00D34FBA" w:rsidRDefault="00B76700" w:rsidP="00D34FBA">
      <w:pPr>
        <w:spacing w:line="480" w:lineRule="auto"/>
        <w:ind w:firstLine="576"/>
        <w:jc w:val="both"/>
        <w:rPr>
          <w:rFonts w:ascii="Arial" w:hAnsi="Arial" w:cs="Arial"/>
          <w:color w:val="000000"/>
          <w:szCs w:val="24"/>
        </w:rPr>
      </w:pPr>
      <w:r w:rsidRPr="00E04943">
        <w:rPr>
          <w:rFonts w:ascii="Arial" w:hAnsi="Arial" w:cs="Arial"/>
          <w:color w:val="000000"/>
          <w:szCs w:val="24"/>
        </w:rPr>
        <w:t xml:space="preserve">However, the risk associated with SMEs application of the ITG frameworks in term cost could lead to the espouse of various theories. The description could remain unwanted outcomes, as the Standard does not seem to consider the strategic opportunities for decision-makers that IT could afford (Bergeron </w:t>
      </w:r>
      <w:r w:rsidR="00B50415" w:rsidRPr="00B50415">
        <w:rPr>
          <w:rFonts w:ascii="Arial" w:hAnsi="Arial" w:cs="Arial"/>
          <w:i/>
          <w:iCs/>
          <w:color w:val="000000"/>
          <w:szCs w:val="24"/>
        </w:rPr>
        <w:t>et al</w:t>
      </w:r>
      <w:r w:rsidRPr="00E04943">
        <w:rPr>
          <w:rFonts w:ascii="Arial" w:hAnsi="Arial" w:cs="Arial"/>
          <w:color w:val="000000"/>
          <w:szCs w:val="24"/>
        </w:rPr>
        <w:t xml:space="preserve">., 2015). The risks of IT to be mainly managed as some ITG frameworks are into practical use by the SMEs. The process could make ITG a dominant view for the decision-makers (Peterson </w:t>
      </w:r>
      <w:r w:rsidR="00B50415" w:rsidRPr="00B50415">
        <w:rPr>
          <w:rFonts w:ascii="Arial" w:hAnsi="Arial" w:cs="Arial"/>
          <w:i/>
          <w:iCs/>
          <w:color w:val="000000"/>
          <w:szCs w:val="24"/>
        </w:rPr>
        <w:t>et al</w:t>
      </w:r>
      <w:r w:rsidRPr="00E04943">
        <w:rPr>
          <w:rFonts w:ascii="Arial" w:hAnsi="Arial" w:cs="Arial"/>
          <w:color w:val="000000"/>
          <w:szCs w:val="24"/>
        </w:rPr>
        <w:t xml:space="preserve">., 2002). The analysis could broadly show that there is a gap between the application of ITG theories and the reality of SMEs (Bergeron </w:t>
      </w:r>
      <w:r w:rsidR="00B50415" w:rsidRPr="00B50415">
        <w:rPr>
          <w:rFonts w:ascii="Arial" w:hAnsi="Arial" w:cs="Arial"/>
          <w:i/>
          <w:iCs/>
          <w:color w:val="000000"/>
          <w:szCs w:val="24"/>
        </w:rPr>
        <w:t>et al</w:t>
      </w:r>
      <w:r w:rsidRPr="00E04943">
        <w:rPr>
          <w:rFonts w:ascii="Arial" w:hAnsi="Arial" w:cs="Arial"/>
          <w:color w:val="000000"/>
          <w:szCs w:val="24"/>
        </w:rPr>
        <w:t>., 2015; Wilkin, 2012). Notwithstanding, the allocation of decision rights and accountability to encourage desirable behaviour in the use of IT the theories still give direction for implementation (e.g., Weill and Broadbent, 1998; Weill, 2004).</w:t>
      </w:r>
      <w:r w:rsidR="00E04943" w:rsidRPr="00E04943">
        <w:rPr>
          <w:rFonts w:ascii="Arial" w:hAnsi="Arial" w:cs="Arial"/>
          <w:color w:val="000000"/>
          <w:szCs w:val="24"/>
        </w:rPr>
        <w:t xml:space="preserve"> </w:t>
      </w:r>
    </w:p>
    <w:p w14:paraId="06BFE7FF" w14:textId="60903DC1" w:rsidR="00D34FBA" w:rsidRDefault="00B76700" w:rsidP="00D34FBA">
      <w:pPr>
        <w:spacing w:line="480" w:lineRule="auto"/>
        <w:ind w:firstLine="576"/>
        <w:jc w:val="both"/>
        <w:rPr>
          <w:rFonts w:ascii="Arial" w:hAnsi="Arial" w:cs="Arial"/>
          <w:color w:val="000000"/>
          <w:szCs w:val="24"/>
        </w:rPr>
      </w:pPr>
      <w:r w:rsidRPr="00E04943">
        <w:rPr>
          <w:rFonts w:ascii="Arial" w:hAnsi="Arial" w:cs="Arial"/>
          <w:color w:val="000000"/>
          <w:szCs w:val="24"/>
        </w:rPr>
        <w:t xml:space="preserve">The theories with lower practice of ITG in SMEs espouse from the Agency theory, Stakeholder theory, Power perspective (Bergeron </w:t>
      </w:r>
      <w:r w:rsidR="00B50415" w:rsidRPr="00B50415">
        <w:rPr>
          <w:rFonts w:ascii="Arial" w:hAnsi="Arial" w:cs="Arial"/>
          <w:i/>
          <w:iCs/>
          <w:color w:val="000000"/>
          <w:szCs w:val="24"/>
        </w:rPr>
        <w:t>et al</w:t>
      </w:r>
      <w:r w:rsidRPr="00E04943">
        <w:rPr>
          <w:rFonts w:ascii="Arial" w:hAnsi="Arial" w:cs="Arial"/>
          <w:color w:val="000000"/>
          <w:szCs w:val="24"/>
        </w:rPr>
        <w:t>., 2015). The adoption of LI could make it plausible (</w:t>
      </w:r>
      <w:proofErr w:type="spellStart"/>
      <w:r w:rsidRPr="00E04943">
        <w:rPr>
          <w:rFonts w:ascii="Arial" w:hAnsi="Arial" w:cs="Arial"/>
          <w:color w:val="000000"/>
          <w:szCs w:val="24"/>
        </w:rPr>
        <w:t>Alkhoraif</w:t>
      </w:r>
      <w:proofErr w:type="spellEnd"/>
      <w:r w:rsidRPr="00E04943">
        <w:rPr>
          <w:rFonts w:ascii="Arial" w:hAnsi="Arial" w:cs="Arial"/>
          <w:color w:val="000000"/>
          <w:szCs w:val="24"/>
        </w:rPr>
        <w:t xml:space="preserve">, 2018). The outcome of such exercise could provide the linkage between the cyber strategy with grand strategy within the design of cyber policymaking (Weber, 2018). Such a view perceives ITG as a model that focuses on the management and delivery of IT services to enterprises irrespective of the size (Peterson, 2003; see also Bergeron </w:t>
      </w:r>
      <w:r w:rsidR="00B50415" w:rsidRPr="00B50415">
        <w:rPr>
          <w:rFonts w:ascii="Arial" w:hAnsi="Arial" w:cs="Arial"/>
          <w:i/>
          <w:iCs/>
          <w:color w:val="000000"/>
          <w:szCs w:val="24"/>
        </w:rPr>
        <w:t>et al</w:t>
      </w:r>
      <w:r w:rsidRPr="00E04943">
        <w:rPr>
          <w:rFonts w:ascii="Arial" w:hAnsi="Arial" w:cs="Arial"/>
          <w:color w:val="000000"/>
          <w:szCs w:val="24"/>
        </w:rPr>
        <w:t xml:space="preserve">., 2015 and </w:t>
      </w:r>
      <w:proofErr w:type="spellStart"/>
      <w:r w:rsidRPr="00E04943">
        <w:rPr>
          <w:rFonts w:ascii="Arial" w:hAnsi="Arial" w:cs="Arial"/>
          <w:color w:val="000000"/>
          <w:szCs w:val="24"/>
        </w:rPr>
        <w:t>Alkhoraif</w:t>
      </w:r>
      <w:proofErr w:type="spellEnd"/>
      <w:r w:rsidRPr="00E04943">
        <w:rPr>
          <w:rFonts w:ascii="Arial" w:hAnsi="Arial" w:cs="Arial"/>
          <w:color w:val="000000"/>
          <w:szCs w:val="24"/>
        </w:rPr>
        <w:t xml:space="preserve">, 2018). On the locus of the IT decision-making authority within an </w:t>
      </w:r>
      <w:r w:rsidRPr="00E04943">
        <w:rPr>
          <w:rFonts w:ascii="Arial" w:hAnsi="Arial" w:cs="Arial"/>
          <w:color w:val="000000"/>
          <w:szCs w:val="24"/>
        </w:rPr>
        <w:lastRenderedPageBreak/>
        <w:t xml:space="preserve">organisation, it remains helpful as a multi-stakeholder approach emphasised in OECD (2002, 2012). Early works indicated a similar trend that the governance structure for a business depended on several factors (e.g. Brown, 1997; </w:t>
      </w:r>
      <w:proofErr w:type="spellStart"/>
      <w:r w:rsidRPr="00E04943">
        <w:rPr>
          <w:rFonts w:ascii="Arial" w:hAnsi="Arial" w:cs="Arial"/>
          <w:color w:val="000000"/>
          <w:szCs w:val="24"/>
        </w:rPr>
        <w:t>Sambamurthy</w:t>
      </w:r>
      <w:proofErr w:type="spellEnd"/>
      <w:r w:rsidRPr="00E04943">
        <w:rPr>
          <w:rFonts w:ascii="Arial" w:hAnsi="Arial" w:cs="Arial"/>
          <w:color w:val="000000"/>
          <w:szCs w:val="24"/>
        </w:rPr>
        <w:t xml:space="preserve"> and </w:t>
      </w:r>
      <w:proofErr w:type="spellStart"/>
      <w:r w:rsidRPr="00E04943">
        <w:rPr>
          <w:rFonts w:ascii="Arial" w:hAnsi="Arial" w:cs="Arial"/>
          <w:color w:val="000000"/>
          <w:szCs w:val="24"/>
        </w:rPr>
        <w:t>Zmud</w:t>
      </w:r>
      <w:proofErr w:type="spellEnd"/>
      <w:r w:rsidRPr="00E04943">
        <w:rPr>
          <w:rFonts w:ascii="Arial" w:hAnsi="Arial" w:cs="Arial"/>
          <w:color w:val="000000"/>
          <w:szCs w:val="24"/>
        </w:rPr>
        <w:t xml:space="preserve">, 1999; Weill, 2004; Weill and </w:t>
      </w:r>
      <w:proofErr w:type="spellStart"/>
      <w:r w:rsidRPr="00E04943">
        <w:rPr>
          <w:rFonts w:ascii="Arial" w:hAnsi="Arial" w:cs="Arial"/>
          <w:color w:val="000000"/>
          <w:szCs w:val="24"/>
        </w:rPr>
        <w:t>Woodham</w:t>
      </w:r>
      <w:proofErr w:type="spellEnd"/>
      <w:r w:rsidRPr="00E04943">
        <w:rPr>
          <w:rFonts w:ascii="Arial" w:hAnsi="Arial" w:cs="Arial"/>
          <w:color w:val="000000"/>
          <w:szCs w:val="24"/>
        </w:rPr>
        <w:t xml:space="preserve">, 2002). </w:t>
      </w:r>
      <w:proofErr w:type="spellStart"/>
      <w:r w:rsidRPr="00E04943">
        <w:rPr>
          <w:rFonts w:ascii="Arial" w:hAnsi="Arial" w:cs="Arial"/>
          <w:color w:val="000000"/>
          <w:szCs w:val="24"/>
        </w:rPr>
        <w:t>Brantly</w:t>
      </w:r>
      <w:proofErr w:type="spellEnd"/>
      <w:r w:rsidRPr="00E04943">
        <w:rPr>
          <w:rFonts w:ascii="Arial" w:hAnsi="Arial" w:cs="Arial"/>
          <w:color w:val="000000"/>
          <w:szCs w:val="24"/>
        </w:rPr>
        <w:t xml:space="preserve"> (2019) asserts the usefulness of complexity theory in the design of the cyber policy.</w:t>
      </w:r>
    </w:p>
    <w:p w14:paraId="55EE06D3" w14:textId="26B6222E" w:rsidR="00D34FBA" w:rsidRDefault="00C938D6" w:rsidP="00D34FBA">
      <w:pPr>
        <w:spacing w:line="480" w:lineRule="auto"/>
        <w:ind w:firstLine="576"/>
        <w:jc w:val="both"/>
        <w:rPr>
          <w:rFonts w:ascii="Arial" w:eastAsia="Arial" w:hAnsi="Arial" w:cs="Arial"/>
          <w:color w:val="000000"/>
          <w:szCs w:val="24"/>
          <w:lang w:eastAsia="en-GB"/>
        </w:rPr>
      </w:pPr>
      <w:r w:rsidRPr="00312389">
        <w:rPr>
          <w:rFonts w:ascii="Arial" w:eastAsia="Arial" w:hAnsi="Arial" w:cs="Arial"/>
          <w:color w:val="000000"/>
          <w:szCs w:val="24"/>
          <w:lang w:eastAsia="en-GB"/>
        </w:rPr>
        <w:t xml:space="preserve">In any case, this possibility approach was perplexing and hard to apply practically speaking. The association of the variables was a staying point; numerous authors accepted that the elements would not collaborate (notably Henderson and </w:t>
      </w:r>
      <w:proofErr w:type="spellStart"/>
      <w:r w:rsidRPr="00312389">
        <w:rPr>
          <w:rFonts w:ascii="Arial" w:eastAsia="Arial" w:hAnsi="Arial" w:cs="Arial"/>
          <w:color w:val="000000"/>
          <w:szCs w:val="24"/>
          <w:lang w:eastAsia="en-GB"/>
        </w:rPr>
        <w:t>Venkatraman</w:t>
      </w:r>
      <w:proofErr w:type="spellEnd"/>
      <w:r w:rsidRPr="00312389">
        <w:rPr>
          <w:rFonts w:ascii="Arial" w:eastAsia="Arial" w:hAnsi="Arial" w:cs="Arial"/>
          <w:color w:val="000000"/>
          <w:szCs w:val="24"/>
          <w:lang w:eastAsia="en-GB"/>
        </w:rPr>
        <w:t xml:space="preserve">, 1994; see also </w:t>
      </w:r>
      <w:proofErr w:type="spellStart"/>
      <w:r w:rsidRPr="00312389">
        <w:rPr>
          <w:rFonts w:ascii="Arial" w:eastAsia="Arial" w:hAnsi="Arial" w:cs="Arial"/>
          <w:color w:val="000000"/>
          <w:szCs w:val="24"/>
          <w:lang w:eastAsia="en-GB"/>
        </w:rPr>
        <w:t>Weerasinghe</w:t>
      </w:r>
      <w:proofErr w:type="spellEnd"/>
      <w:r w:rsidRPr="00312389">
        <w:rPr>
          <w:rFonts w:ascii="Arial" w:eastAsia="Arial" w:hAnsi="Arial" w:cs="Arial"/>
          <w:color w:val="000000"/>
          <w:szCs w:val="24"/>
          <w:lang w:eastAsia="en-GB"/>
        </w:rPr>
        <w:t xml:space="preserve"> </w:t>
      </w:r>
      <w:r w:rsidR="00B50415" w:rsidRPr="00B50415">
        <w:rPr>
          <w:rFonts w:ascii="Arial" w:eastAsia="Arial" w:hAnsi="Arial" w:cs="Arial"/>
          <w:i/>
          <w:iCs/>
          <w:color w:val="000000"/>
          <w:szCs w:val="24"/>
          <w:lang w:eastAsia="en-GB"/>
        </w:rPr>
        <w:t>et al</w:t>
      </w:r>
      <w:r w:rsidRPr="00312389">
        <w:rPr>
          <w:rFonts w:ascii="Arial" w:eastAsia="Arial" w:hAnsi="Arial" w:cs="Arial"/>
          <w:color w:val="000000"/>
          <w:szCs w:val="24"/>
          <w:lang w:eastAsia="en-GB"/>
        </w:rPr>
        <w:t xml:space="preserve">., 2018 and </w:t>
      </w:r>
      <w:proofErr w:type="spellStart"/>
      <w:r w:rsidRPr="00312389">
        <w:rPr>
          <w:rFonts w:ascii="Arial" w:eastAsia="Arial" w:hAnsi="Arial" w:cs="Arial"/>
          <w:color w:val="000000"/>
          <w:szCs w:val="24"/>
          <w:lang w:eastAsia="en-GB"/>
        </w:rPr>
        <w:t>Weerasinghe</w:t>
      </w:r>
      <w:proofErr w:type="spellEnd"/>
      <w:r w:rsidRPr="00312389">
        <w:rPr>
          <w:rFonts w:ascii="Arial" w:eastAsia="Arial" w:hAnsi="Arial" w:cs="Arial"/>
          <w:color w:val="000000"/>
          <w:szCs w:val="24"/>
          <w:lang w:eastAsia="en-GB"/>
        </w:rPr>
        <w:t xml:space="preserve"> </w:t>
      </w:r>
      <w:r w:rsidR="00B50415" w:rsidRPr="00B50415">
        <w:rPr>
          <w:rFonts w:ascii="Arial" w:eastAsia="Arial" w:hAnsi="Arial" w:cs="Arial"/>
          <w:i/>
          <w:iCs/>
          <w:color w:val="000000"/>
          <w:szCs w:val="24"/>
          <w:lang w:eastAsia="en-GB"/>
        </w:rPr>
        <w:t>et al</w:t>
      </w:r>
      <w:r w:rsidRPr="00312389">
        <w:rPr>
          <w:rFonts w:ascii="Arial" w:eastAsia="Arial" w:hAnsi="Arial" w:cs="Arial"/>
          <w:color w:val="000000"/>
          <w:szCs w:val="24"/>
          <w:lang w:eastAsia="en-GB"/>
        </w:rPr>
        <w:t xml:space="preserve">., 2018). With accentuation, the authors justify scaling of a type. Those authors who assumed cooperation created systems of multifaceted frameworks (e.g. </w:t>
      </w:r>
      <w:proofErr w:type="spellStart"/>
      <w:r w:rsidRPr="00312389">
        <w:rPr>
          <w:rFonts w:ascii="Arial" w:eastAsia="Arial" w:hAnsi="Arial" w:cs="Arial"/>
          <w:color w:val="000000"/>
          <w:szCs w:val="24"/>
          <w:lang w:eastAsia="en-GB"/>
        </w:rPr>
        <w:t>Sambamurthy</w:t>
      </w:r>
      <w:proofErr w:type="spellEnd"/>
      <w:r w:rsidRPr="00312389">
        <w:rPr>
          <w:rFonts w:ascii="Arial" w:eastAsia="Arial" w:hAnsi="Arial" w:cs="Arial"/>
          <w:color w:val="000000"/>
          <w:szCs w:val="24"/>
          <w:lang w:eastAsia="en-GB"/>
        </w:rPr>
        <w:t xml:space="preserve"> and </w:t>
      </w:r>
      <w:proofErr w:type="spellStart"/>
      <w:r w:rsidRPr="00312389">
        <w:rPr>
          <w:rFonts w:ascii="Arial" w:eastAsia="Arial" w:hAnsi="Arial" w:cs="Arial"/>
          <w:color w:val="000000"/>
          <w:szCs w:val="24"/>
          <w:lang w:eastAsia="en-GB"/>
        </w:rPr>
        <w:t>Zmud</w:t>
      </w:r>
      <w:proofErr w:type="spellEnd"/>
      <w:r w:rsidRPr="00312389">
        <w:rPr>
          <w:rFonts w:ascii="Arial" w:eastAsia="Arial" w:hAnsi="Arial" w:cs="Arial"/>
          <w:color w:val="000000"/>
          <w:szCs w:val="24"/>
          <w:lang w:eastAsia="en-GB"/>
        </w:rPr>
        <w:t xml:space="preserve">, 1999; </w:t>
      </w:r>
      <w:proofErr w:type="spellStart"/>
      <w:r w:rsidRPr="00312389">
        <w:rPr>
          <w:rFonts w:ascii="Arial" w:eastAsia="Arial" w:hAnsi="Arial" w:cs="Arial"/>
          <w:color w:val="000000"/>
          <w:szCs w:val="24"/>
          <w:lang w:eastAsia="en-GB"/>
        </w:rPr>
        <w:t>Coltman</w:t>
      </w:r>
      <w:proofErr w:type="spellEnd"/>
      <w:r w:rsidRPr="00312389">
        <w:rPr>
          <w:rFonts w:ascii="Arial" w:eastAsia="Arial" w:hAnsi="Arial" w:cs="Arial"/>
          <w:color w:val="000000"/>
          <w:szCs w:val="24"/>
          <w:lang w:eastAsia="en-GB"/>
        </w:rPr>
        <w:t xml:space="preserve"> </w:t>
      </w:r>
      <w:r w:rsidR="00B50415" w:rsidRPr="00B50415">
        <w:rPr>
          <w:rFonts w:ascii="Arial" w:eastAsia="Arial" w:hAnsi="Arial" w:cs="Arial"/>
          <w:i/>
          <w:iCs/>
          <w:color w:val="000000"/>
          <w:szCs w:val="24"/>
          <w:lang w:eastAsia="en-GB"/>
        </w:rPr>
        <w:t>et al</w:t>
      </w:r>
      <w:r w:rsidRPr="00312389">
        <w:rPr>
          <w:rFonts w:ascii="Arial" w:eastAsia="Arial" w:hAnsi="Arial" w:cs="Arial"/>
          <w:color w:val="000000"/>
          <w:szCs w:val="24"/>
          <w:lang w:eastAsia="en-GB"/>
        </w:rPr>
        <w:t xml:space="preserve">., 2015; Gregory </w:t>
      </w:r>
      <w:r w:rsidR="00B50415" w:rsidRPr="00B50415">
        <w:rPr>
          <w:rFonts w:ascii="Arial" w:eastAsia="Arial" w:hAnsi="Arial" w:cs="Arial"/>
          <w:i/>
          <w:iCs/>
          <w:color w:val="000000"/>
          <w:szCs w:val="24"/>
          <w:lang w:eastAsia="en-GB"/>
        </w:rPr>
        <w:t>et al</w:t>
      </w:r>
      <w:r w:rsidRPr="00312389">
        <w:rPr>
          <w:rFonts w:ascii="Arial" w:eastAsia="Arial" w:hAnsi="Arial" w:cs="Arial"/>
          <w:color w:val="000000"/>
          <w:szCs w:val="24"/>
          <w:lang w:eastAsia="en-GB"/>
        </w:rPr>
        <w:t xml:space="preserve">., 2018; </w:t>
      </w:r>
      <w:proofErr w:type="spellStart"/>
      <w:r w:rsidRPr="00312389">
        <w:rPr>
          <w:rFonts w:ascii="Arial" w:eastAsia="Arial" w:hAnsi="Arial" w:cs="Arial"/>
          <w:color w:val="000000"/>
          <w:szCs w:val="24"/>
          <w:lang w:eastAsia="en-GB"/>
        </w:rPr>
        <w:t>Brantly</w:t>
      </w:r>
      <w:proofErr w:type="spellEnd"/>
      <w:r w:rsidRPr="00312389">
        <w:rPr>
          <w:rFonts w:ascii="Arial" w:eastAsia="Arial" w:hAnsi="Arial" w:cs="Arial"/>
          <w:color w:val="000000"/>
          <w:szCs w:val="24"/>
          <w:lang w:eastAsia="en-GB"/>
        </w:rPr>
        <w:t>, 2019).</w:t>
      </w:r>
      <w:r w:rsidR="00B72AC2">
        <w:rPr>
          <w:rFonts w:ascii="Arial" w:eastAsia="Arial" w:hAnsi="Arial" w:cs="Arial"/>
          <w:color w:val="000000"/>
          <w:szCs w:val="24"/>
          <w:lang w:eastAsia="en-GB"/>
        </w:rPr>
        <w:t xml:space="preserve"> </w:t>
      </w:r>
    </w:p>
    <w:p w14:paraId="7A704F7D" w14:textId="77777777" w:rsidR="00D34FBA" w:rsidRDefault="00B72AC2" w:rsidP="00D34FBA">
      <w:pPr>
        <w:spacing w:line="480" w:lineRule="auto"/>
        <w:ind w:firstLine="576"/>
        <w:jc w:val="both"/>
        <w:rPr>
          <w:rFonts w:ascii="Arial" w:hAnsi="Arial" w:cs="Arial"/>
          <w:color w:val="000000"/>
          <w:szCs w:val="24"/>
        </w:rPr>
      </w:pPr>
      <w:r w:rsidRPr="0027034D">
        <w:rPr>
          <w:rFonts w:ascii="Arial" w:hAnsi="Arial" w:cs="Arial"/>
          <w:color w:val="000000"/>
          <w:szCs w:val="24"/>
        </w:rPr>
        <w:t xml:space="preserve">Consequentially, the measurement of performance of IT security processes and or controls is a critical operational aspect of ITG from an integrated ITG framework perspective (Dahlberg and </w:t>
      </w:r>
      <w:proofErr w:type="spellStart"/>
      <w:r w:rsidRPr="0027034D">
        <w:rPr>
          <w:rFonts w:ascii="Arial" w:hAnsi="Arial" w:cs="Arial"/>
          <w:color w:val="000000"/>
          <w:szCs w:val="24"/>
        </w:rPr>
        <w:t>Kivijarvi</w:t>
      </w:r>
      <w:proofErr w:type="spellEnd"/>
      <w:r w:rsidRPr="0027034D">
        <w:rPr>
          <w:rFonts w:ascii="Arial" w:hAnsi="Arial" w:cs="Arial"/>
          <w:color w:val="000000"/>
          <w:szCs w:val="24"/>
        </w:rPr>
        <w:t xml:space="preserve">, 2006; Hubbard and </w:t>
      </w:r>
      <w:proofErr w:type="spellStart"/>
      <w:r w:rsidRPr="0027034D">
        <w:rPr>
          <w:rFonts w:ascii="Arial" w:hAnsi="Arial" w:cs="Arial"/>
          <w:color w:val="000000"/>
          <w:szCs w:val="24"/>
        </w:rPr>
        <w:t>Seiersen</w:t>
      </w:r>
      <w:proofErr w:type="spellEnd"/>
      <w:r w:rsidRPr="0027034D">
        <w:rPr>
          <w:rFonts w:ascii="Arial" w:hAnsi="Arial" w:cs="Arial"/>
          <w:color w:val="000000"/>
          <w:szCs w:val="24"/>
        </w:rPr>
        <w:t>, 2016). The measurement</w:t>
      </w:r>
      <w:r w:rsidR="0027034D" w:rsidRPr="0027034D">
        <w:rPr>
          <w:rFonts w:ascii="Arial" w:hAnsi="Arial" w:cs="Arial"/>
          <w:color w:val="000000"/>
          <w:szCs w:val="24"/>
        </w:rPr>
        <w:t xml:space="preserve"> </w:t>
      </w:r>
      <w:r w:rsidRPr="0027034D">
        <w:rPr>
          <w:rFonts w:ascii="Arial" w:hAnsi="Arial" w:cs="Arial"/>
          <w:color w:val="000000"/>
          <w:szCs w:val="24"/>
        </w:rPr>
        <w:t xml:space="preserve">consideration tends as one of the two operating functions of ITG to explicitly launch with business-IT alignment in the arranging stage that </w:t>
      </w:r>
      <w:proofErr w:type="spellStart"/>
      <w:r w:rsidR="0027034D" w:rsidRPr="0027034D">
        <w:rPr>
          <w:rFonts w:ascii="Arial" w:hAnsi="Arial" w:cs="Arial"/>
          <w:color w:val="000000"/>
          <w:szCs w:val="24"/>
        </w:rPr>
        <w:t>guardingly</w:t>
      </w:r>
      <w:proofErr w:type="spellEnd"/>
      <w:r w:rsidRPr="0027034D">
        <w:rPr>
          <w:rFonts w:ascii="Arial" w:hAnsi="Arial" w:cs="Arial"/>
          <w:color w:val="000000"/>
          <w:szCs w:val="24"/>
        </w:rPr>
        <w:t xml:space="preserve"> affected the working stage. The monitoring of IT resources, risks, and management gain traction by the selection of appropriate IT performance measurement tools, which ultimately affects the benefits, costs, opportunities, and risks (Hubbard and </w:t>
      </w:r>
      <w:proofErr w:type="spellStart"/>
      <w:r w:rsidRPr="0027034D">
        <w:rPr>
          <w:rFonts w:ascii="Arial" w:hAnsi="Arial" w:cs="Arial"/>
          <w:color w:val="000000"/>
          <w:szCs w:val="24"/>
        </w:rPr>
        <w:t>Seiersen</w:t>
      </w:r>
      <w:proofErr w:type="spellEnd"/>
      <w:r w:rsidRPr="0027034D">
        <w:rPr>
          <w:rFonts w:ascii="Arial" w:hAnsi="Arial" w:cs="Arial"/>
          <w:color w:val="000000"/>
          <w:szCs w:val="24"/>
        </w:rPr>
        <w:t>, 2016). Hence, the scaling could espouse the LI as a MSGS advocated in OECD (2012).</w:t>
      </w:r>
      <w:r w:rsidR="00D34FBA">
        <w:rPr>
          <w:rFonts w:ascii="Arial" w:hAnsi="Arial" w:cs="Arial"/>
          <w:color w:val="000000"/>
          <w:szCs w:val="24"/>
        </w:rPr>
        <w:t xml:space="preserve"> </w:t>
      </w:r>
    </w:p>
    <w:p w14:paraId="2C2E304A" w14:textId="314A84C3" w:rsidR="00C938D6" w:rsidRPr="00312389" w:rsidRDefault="00C938D6" w:rsidP="00D34FBA">
      <w:pPr>
        <w:spacing w:line="480" w:lineRule="auto"/>
        <w:ind w:firstLine="576"/>
        <w:jc w:val="both"/>
        <w:rPr>
          <w:rFonts w:ascii="Arial" w:eastAsia="Arial" w:hAnsi="Arial" w:cs="Arial"/>
          <w:color w:val="000000"/>
          <w:szCs w:val="24"/>
          <w:lang w:eastAsia="en-GB"/>
        </w:rPr>
      </w:pPr>
      <w:r w:rsidRPr="00312389">
        <w:rPr>
          <w:rFonts w:ascii="Arial" w:eastAsia="Arial" w:hAnsi="Arial" w:cs="Arial"/>
          <w:color w:val="000000"/>
          <w:szCs w:val="24"/>
          <w:lang w:eastAsia="en-GB"/>
        </w:rPr>
        <w:lastRenderedPageBreak/>
        <w:t xml:space="preserve">In the deployment of ITG, the use of a mixture of structures, processes and relational mechanisms is active with the multi-stakeholder approach. The arrangements are devices and tools for connecting business and IT; methods refer to IT monitoring the procedure, while relational mechanisms relate to participation and collaboration between management (De </w:t>
      </w:r>
      <w:proofErr w:type="spellStart"/>
      <w:r w:rsidRPr="00312389">
        <w:rPr>
          <w:rFonts w:ascii="Arial" w:eastAsia="Arial" w:hAnsi="Arial" w:cs="Arial"/>
          <w:color w:val="000000"/>
          <w:szCs w:val="24"/>
          <w:lang w:eastAsia="en-GB"/>
        </w:rPr>
        <w:t>Haes</w:t>
      </w:r>
      <w:proofErr w:type="spellEnd"/>
      <w:r w:rsidRPr="00312389">
        <w:rPr>
          <w:rFonts w:ascii="Arial" w:eastAsia="Arial" w:hAnsi="Arial" w:cs="Arial"/>
          <w:color w:val="000000"/>
          <w:szCs w:val="24"/>
          <w:lang w:eastAsia="en-GB"/>
        </w:rPr>
        <w:t xml:space="preserve"> and </w:t>
      </w:r>
      <w:proofErr w:type="spellStart"/>
      <w:r w:rsidRPr="00312389">
        <w:rPr>
          <w:rFonts w:ascii="Arial" w:eastAsia="Arial" w:hAnsi="Arial" w:cs="Arial"/>
          <w:color w:val="000000"/>
          <w:szCs w:val="24"/>
          <w:lang w:eastAsia="en-GB"/>
        </w:rPr>
        <w:t>Grembergen</w:t>
      </w:r>
      <w:proofErr w:type="spellEnd"/>
      <w:r w:rsidRPr="00312389">
        <w:rPr>
          <w:rFonts w:ascii="Arial" w:eastAsia="Arial" w:hAnsi="Arial" w:cs="Arial"/>
          <w:color w:val="000000"/>
          <w:szCs w:val="24"/>
          <w:lang w:eastAsia="en-GB"/>
        </w:rPr>
        <w:t>, 2009). ITG frameworks, as the repositories of IT-effectiveness knowledge, organisations over time develop a shared culture of behaviours, values and expectations about their IT processes (</w:t>
      </w:r>
      <w:proofErr w:type="spellStart"/>
      <w:r w:rsidRPr="00312389">
        <w:rPr>
          <w:rFonts w:ascii="Arial" w:eastAsia="Arial" w:hAnsi="Arial" w:cs="Arial"/>
          <w:color w:val="000000"/>
          <w:szCs w:val="24"/>
          <w:lang w:eastAsia="en-GB"/>
        </w:rPr>
        <w:t>Nicho</w:t>
      </w:r>
      <w:proofErr w:type="spellEnd"/>
      <w:r w:rsidRPr="00312389">
        <w:rPr>
          <w:rFonts w:ascii="Arial" w:eastAsia="Arial" w:hAnsi="Arial" w:cs="Arial"/>
          <w:color w:val="000000"/>
          <w:szCs w:val="24"/>
          <w:lang w:eastAsia="en-GB"/>
        </w:rPr>
        <w:t xml:space="preserve"> and Khan, 2017; Gregory </w:t>
      </w:r>
      <w:r w:rsidR="00B50415" w:rsidRPr="00B50415">
        <w:rPr>
          <w:rFonts w:ascii="Arial" w:eastAsia="Arial" w:hAnsi="Arial" w:cs="Arial"/>
          <w:i/>
          <w:iCs/>
          <w:color w:val="000000"/>
          <w:szCs w:val="24"/>
          <w:lang w:eastAsia="en-GB"/>
        </w:rPr>
        <w:t>et al</w:t>
      </w:r>
      <w:r w:rsidRPr="00312389">
        <w:rPr>
          <w:rFonts w:ascii="Arial" w:eastAsia="Arial" w:hAnsi="Arial" w:cs="Arial"/>
          <w:color w:val="000000"/>
          <w:szCs w:val="24"/>
          <w:lang w:eastAsia="en-GB"/>
        </w:rPr>
        <w:t xml:space="preserve">., 2018). Thus, integrating the two models to benefit assessment enable decision-makers to facilitate the functionality of scaling through the structures. Additionally, it embeds the processes of ITG measurement tools in the operating phase of integrated ITG framework (De </w:t>
      </w:r>
      <w:proofErr w:type="spellStart"/>
      <w:r w:rsidRPr="00312389">
        <w:rPr>
          <w:rFonts w:ascii="Arial" w:eastAsia="Arial" w:hAnsi="Arial" w:cs="Arial"/>
          <w:color w:val="000000"/>
          <w:szCs w:val="24"/>
          <w:lang w:eastAsia="en-GB"/>
        </w:rPr>
        <w:t>Haes</w:t>
      </w:r>
      <w:proofErr w:type="spellEnd"/>
      <w:r w:rsidRPr="00312389">
        <w:rPr>
          <w:rFonts w:ascii="Arial" w:eastAsia="Arial" w:hAnsi="Arial" w:cs="Arial"/>
          <w:color w:val="000000"/>
          <w:szCs w:val="24"/>
          <w:lang w:eastAsia="en-GB"/>
        </w:rPr>
        <w:t xml:space="preserve"> and </w:t>
      </w:r>
      <w:proofErr w:type="spellStart"/>
      <w:r w:rsidRPr="00312389">
        <w:rPr>
          <w:rFonts w:ascii="Arial" w:eastAsia="Arial" w:hAnsi="Arial" w:cs="Arial"/>
          <w:color w:val="000000"/>
          <w:szCs w:val="24"/>
          <w:lang w:eastAsia="en-GB"/>
        </w:rPr>
        <w:t>Grembergen</w:t>
      </w:r>
      <w:proofErr w:type="spellEnd"/>
      <w:r w:rsidRPr="00312389">
        <w:rPr>
          <w:rFonts w:ascii="Arial" w:eastAsia="Arial" w:hAnsi="Arial" w:cs="Arial"/>
          <w:color w:val="000000"/>
          <w:szCs w:val="24"/>
          <w:lang w:eastAsia="en-GB"/>
        </w:rPr>
        <w:t xml:space="preserve">, 2009; see also Gregory </w:t>
      </w:r>
      <w:r w:rsidR="00B50415" w:rsidRPr="00B50415">
        <w:rPr>
          <w:rFonts w:ascii="Arial" w:eastAsia="Arial" w:hAnsi="Arial" w:cs="Arial"/>
          <w:i/>
          <w:iCs/>
          <w:color w:val="000000"/>
          <w:szCs w:val="24"/>
          <w:lang w:eastAsia="en-GB"/>
        </w:rPr>
        <w:t>et al</w:t>
      </w:r>
      <w:r w:rsidRPr="00312389">
        <w:rPr>
          <w:rFonts w:ascii="Arial" w:eastAsia="Arial" w:hAnsi="Arial" w:cs="Arial"/>
          <w:color w:val="000000"/>
          <w:szCs w:val="24"/>
          <w:lang w:eastAsia="en-GB"/>
        </w:rPr>
        <w:t xml:space="preserve">., 2018 and Bergeron </w:t>
      </w:r>
      <w:r w:rsidR="00B50415" w:rsidRPr="00B50415">
        <w:rPr>
          <w:rFonts w:ascii="Arial" w:eastAsia="Arial" w:hAnsi="Arial" w:cs="Arial"/>
          <w:i/>
          <w:iCs/>
          <w:color w:val="000000"/>
          <w:szCs w:val="24"/>
          <w:lang w:eastAsia="en-GB"/>
        </w:rPr>
        <w:t>et al</w:t>
      </w:r>
      <w:r w:rsidRPr="00312389">
        <w:rPr>
          <w:rFonts w:ascii="Arial" w:eastAsia="Arial" w:hAnsi="Arial" w:cs="Arial"/>
          <w:color w:val="000000"/>
          <w:szCs w:val="24"/>
          <w:lang w:eastAsia="en-GB"/>
        </w:rPr>
        <w:t>., 2015). Thus, theorising scaling is a relational mechanism in the apt of participation and collaboration among management and not entirely on me</w:t>
      </w:r>
      <w:r w:rsidR="002A44C0" w:rsidRPr="00312389">
        <w:rPr>
          <w:rFonts w:ascii="Arial" w:eastAsia="Arial" w:hAnsi="Arial" w:cs="Arial"/>
          <w:color w:val="000000"/>
          <w:szCs w:val="24"/>
          <w:lang w:eastAsia="en-GB"/>
        </w:rPr>
        <w:t xml:space="preserve"> </w:t>
      </w:r>
      <w:proofErr w:type="spellStart"/>
      <w:r w:rsidRPr="00312389">
        <w:rPr>
          <w:rFonts w:ascii="Arial" w:eastAsia="Arial" w:hAnsi="Arial" w:cs="Arial"/>
          <w:color w:val="000000"/>
          <w:szCs w:val="24"/>
          <w:lang w:eastAsia="en-GB"/>
        </w:rPr>
        <w:t>asurement</w:t>
      </w:r>
      <w:proofErr w:type="spellEnd"/>
      <w:r w:rsidRPr="00312389">
        <w:rPr>
          <w:rFonts w:ascii="Arial" w:eastAsia="Arial" w:hAnsi="Arial" w:cs="Arial"/>
          <w:color w:val="000000"/>
          <w:szCs w:val="24"/>
          <w:lang w:eastAsia="en-GB"/>
        </w:rPr>
        <w:t xml:space="preserve">. Such a construct should serve as an input to cyber policy decision-making processes (Woods and Simpson, 2017). </w:t>
      </w:r>
    </w:p>
    <w:p w14:paraId="5B9CCBAD" w14:textId="4CD9D7C4" w:rsidR="00535B54" w:rsidRPr="00312389" w:rsidRDefault="00535B54" w:rsidP="00D40EBB">
      <w:pPr>
        <w:pStyle w:val="Heading2"/>
        <w:spacing w:line="480" w:lineRule="auto"/>
        <w:rPr>
          <w:rFonts w:ascii="Arial" w:hAnsi="Arial" w:cs="Arial"/>
          <w:szCs w:val="24"/>
        </w:rPr>
      </w:pPr>
      <w:bookmarkStart w:id="29" w:name="_Toc72189381"/>
      <w:r w:rsidRPr="00312389">
        <w:rPr>
          <w:rFonts w:ascii="Arial" w:hAnsi="Arial" w:cs="Arial"/>
        </w:rPr>
        <w:t>Emerging issues and need for Secondary Data Exploratory Research</w:t>
      </w:r>
      <w:bookmarkEnd w:id="29"/>
    </w:p>
    <w:p w14:paraId="1B91323F" w14:textId="77777777" w:rsidR="00A021CD" w:rsidRDefault="00535B54" w:rsidP="00A021CD">
      <w:pPr>
        <w:spacing w:line="480" w:lineRule="auto"/>
        <w:ind w:firstLine="576"/>
        <w:jc w:val="both"/>
        <w:rPr>
          <w:rFonts w:ascii="Arial" w:hAnsi="Arial" w:cs="Arial"/>
          <w:szCs w:val="24"/>
        </w:rPr>
      </w:pPr>
      <w:r w:rsidRPr="00312389">
        <w:rPr>
          <w:rFonts w:ascii="Arial" w:hAnsi="Arial" w:cs="Arial"/>
          <w:szCs w:val="24"/>
        </w:rPr>
        <w:t xml:space="preserve">The study of cyber policy concerning implementable ITG in SMEs literature showed that the study area is a complex and dynamic landscape. Firstly, there is no universal definition, although there is consistency in the implementation of various ITG. The description highlights as a working characterisation of cyber policy. The definition underscores correlations within the multi-stakeholder elements to understand the application of ITG in SMEs and to support cyber policy </w:t>
      </w:r>
      <w:r w:rsidRPr="00312389">
        <w:rPr>
          <w:rFonts w:ascii="Arial" w:hAnsi="Arial" w:cs="Arial"/>
          <w:szCs w:val="24"/>
        </w:rPr>
        <w:lastRenderedPageBreak/>
        <w:t xml:space="preserve">decision-makers. There are many strategic identifications of cybersecurity elements; for instance, seen diminished costs, access to sizeable IT infrastructure, cyber policy specialised decision-makers, etc.), and the long-term benefits to SMEs’ decision-makers  (such as implementable ITG, the flexibility of MSGS, robust internal investigation to data breach incidents, etc.). The implementation of a protectable cyber policy stands out as SMEs remain susceptible to continuous malicious attack, especially the UK’s SME Aviation. </w:t>
      </w:r>
    </w:p>
    <w:p w14:paraId="52AE8686" w14:textId="0D2EAEF0" w:rsidR="00A021CD" w:rsidRDefault="00535B54" w:rsidP="00A021CD">
      <w:pPr>
        <w:spacing w:line="480" w:lineRule="auto"/>
        <w:ind w:firstLine="576"/>
        <w:jc w:val="both"/>
        <w:rPr>
          <w:rFonts w:ascii="Arial" w:hAnsi="Arial" w:cs="Arial"/>
          <w:color w:val="424242"/>
          <w:szCs w:val="24"/>
        </w:rPr>
      </w:pPr>
      <w:r w:rsidRPr="00312389">
        <w:rPr>
          <w:rFonts w:ascii="Arial" w:hAnsi="Arial" w:cs="Arial"/>
          <w:color w:val="424242"/>
          <w:szCs w:val="24"/>
        </w:rPr>
        <w:t xml:space="preserve">The review of literature stressed the need for an implementable cyber policy as the real linkage between ITG and MSGS (Aggarwal and </w:t>
      </w:r>
      <w:proofErr w:type="spellStart"/>
      <w:r w:rsidRPr="00312389">
        <w:rPr>
          <w:rFonts w:ascii="Arial" w:hAnsi="Arial" w:cs="Arial"/>
          <w:color w:val="424242"/>
          <w:szCs w:val="24"/>
        </w:rPr>
        <w:t>Reddie</w:t>
      </w:r>
      <w:proofErr w:type="spellEnd"/>
      <w:r w:rsidRPr="00312389">
        <w:rPr>
          <w:rFonts w:ascii="Arial" w:hAnsi="Arial" w:cs="Arial"/>
          <w:color w:val="424242"/>
          <w:szCs w:val="24"/>
        </w:rPr>
        <w:t xml:space="preserve">, 2018; </w:t>
      </w:r>
      <w:proofErr w:type="spellStart"/>
      <w:r w:rsidRPr="00312389">
        <w:rPr>
          <w:rFonts w:ascii="Arial" w:hAnsi="Arial" w:cs="Arial"/>
          <w:color w:val="424242"/>
          <w:szCs w:val="24"/>
        </w:rPr>
        <w:t>Banham</w:t>
      </w:r>
      <w:proofErr w:type="spellEnd"/>
      <w:r w:rsidRPr="00312389">
        <w:rPr>
          <w:rFonts w:ascii="Arial" w:hAnsi="Arial" w:cs="Arial"/>
          <w:color w:val="424242"/>
          <w:szCs w:val="24"/>
        </w:rPr>
        <w:t xml:space="preserve"> and He, 2010; De </w:t>
      </w:r>
      <w:proofErr w:type="spellStart"/>
      <w:r w:rsidRPr="00312389">
        <w:rPr>
          <w:rFonts w:ascii="Arial" w:hAnsi="Arial" w:cs="Arial"/>
          <w:color w:val="424242"/>
          <w:szCs w:val="24"/>
        </w:rPr>
        <w:t>Haes</w:t>
      </w:r>
      <w:proofErr w:type="spellEnd"/>
      <w:r w:rsidRPr="00312389">
        <w:rPr>
          <w:rFonts w:ascii="Arial" w:hAnsi="Arial" w:cs="Arial"/>
          <w:color w:val="424242"/>
          <w:szCs w:val="24"/>
        </w:rPr>
        <w:t xml:space="preserve"> and Van </w:t>
      </w:r>
      <w:proofErr w:type="spellStart"/>
      <w:r w:rsidRPr="00312389">
        <w:rPr>
          <w:rFonts w:ascii="Arial" w:hAnsi="Arial" w:cs="Arial"/>
          <w:color w:val="424242"/>
          <w:szCs w:val="24"/>
        </w:rPr>
        <w:t>Grembergen</w:t>
      </w:r>
      <w:proofErr w:type="spellEnd"/>
      <w:r w:rsidRPr="00312389">
        <w:rPr>
          <w:rFonts w:ascii="Arial" w:hAnsi="Arial" w:cs="Arial"/>
          <w:color w:val="424242"/>
          <w:szCs w:val="24"/>
        </w:rPr>
        <w:t xml:space="preserve">, 2006, 2009; </w:t>
      </w:r>
      <w:proofErr w:type="spellStart"/>
      <w:r w:rsidRPr="00312389">
        <w:rPr>
          <w:rFonts w:ascii="Arial" w:hAnsi="Arial" w:cs="Arial"/>
          <w:color w:val="424242"/>
          <w:szCs w:val="24"/>
        </w:rPr>
        <w:t>GreenPope</w:t>
      </w:r>
      <w:proofErr w:type="spellEnd"/>
      <w:r w:rsidRPr="00312389">
        <w:rPr>
          <w:rFonts w:ascii="Arial" w:hAnsi="Arial" w:cs="Arial"/>
          <w:color w:val="424242"/>
          <w:szCs w:val="24"/>
        </w:rPr>
        <w:t xml:space="preserve"> </w:t>
      </w:r>
      <w:r w:rsidR="00B50415" w:rsidRPr="00B50415">
        <w:rPr>
          <w:rFonts w:ascii="Arial" w:hAnsi="Arial" w:cs="Arial"/>
          <w:i/>
          <w:iCs/>
          <w:color w:val="424242"/>
          <w:szCs w:val="24"/>
        </w:rPr>
        <w:t>et al</w:t>
      </w:r>
      <w:r w:rsidRPr="00312389">
        <w:rPr>
          <w:rFonts w:ascii="Arial" w:hAnsi="Arial" w:cs="Arial"/>
          <w:color w:val="424242"/>
          <w:szCs w:val="24"/>
        </w:rPr>
        <w:t xml:space="preserve">., 2010; Webb </w:t>
      </w:r>
      <w:r w:rsidR="00B50415" w:rsidRPr="00B50415">
        <w:rPr>
          <w:rFonts w:ascii="Arial" w:hAnsi="Arial" w:cs="Arial"/>
          <w:i/>
          <w:iCs/>
          <w:color w:val="424242"/>
          <w:szCs w:val="24"/>
        </w:rPr>
        <w:t>et al</w:t>
      </w:r>
      <w:r w:rsidRPr="00312389">
        <w:rPr>
          <w:rFonts w:ascii="Arial" w:hAnsi="Arial" w:cs="Arial"/>
          <w:color w:val="424242"/>
          <w:szCs w:val="24"/>
        </w:rPr>
        <w:t>., 2006). With the accentuation on scaling and scalability mechanism in the implementation of ITG, decision-makers would find the organisational culture of security as consistently helpful as accessibility is almost effective (OECD 2002, 2012). For decision-makers to accommodate such paradigm, the most support structure highlighted by research was the offer of a shared concept of scaling to both security scholars and practitioners to prepare decision-makers with the technical impetus in the implementation of cyber policy.</w:t>
      </w:r>
      <w:r w:rsidR="00A021CD">
        <w:rPr>
          <w:rFonts w:ascii="Arial" w:hAnsi="Arial" w:cs="Arial"/>
          <w:color w:val="424242"/>
          <w:szCs w:val="24"/>
        </w:rPr>
        <w:t xml:space="preserve"> </w:t>
      </w:r>
    </w:p>
    <w:p w14:paraId="596216F5" w14:textId="77777777" w:rsidR="00A021CD" w:rsidRDefault="00831335" w:rsidP="00A021CD">
      <w:pPr>
        <w:spacing w:line="480" w:lineRule="auto"/>
        <w:ind w:firstLine="576"/>
        <w:jc w:val="both"/>
        <w:rPr>
          <w:rFonts w:ascii="Arial" w:hAnsi="Arial" w:cs="Arial"/>
          <w:color w:val="000000"/>
          <w:szCs w:val="24"/>
        </w:rPr>
      </w:pPr>
      <w:r w:rsidRPr="00831335">
        <w:rPr>
          <w:rFonts w:ascii="Arial" w:hAnsi="Arial" w:cs="Arial"/>
          <w:color w:val="000000"/>
          <w:szCs w:val="24"/>
        </w:rPr>
        <w:t>However, there was literature evidence that decision-makers must be specialised security personnel to meet such obligations. There are concerns that SMEs may not have skilled cyber policymakers. They may have to recourse to the more significant enterprise security specialists to meet the need for fulfilling the highlighted goals via scaling mechanisms. In fulfilling this role, decision-makers need both academic and expertise-based training in cyber policy. There are offers of an interface among government and industry to empower specialised security chiefs (</w:t>
      </w:r>
      <w:proofErr w:type="spellStart"/>
      <w:r w:rsidRPr="00831335">
        <w:rPr>
          <w:rFonts w:ascii="Arial" w:hAnsi="Arial" w:cs="Arial"/>
          <w:color w:val="000000"/>
          <w:szCs w:val="24"/>
        </w:rPr>
        <w:t>Carr</w:t>
      </w:r>
      <w:proofErr w:type="spellEnd"/>
      <w:r w:rsidRPr="00831335">
        <w:rPr>
          <w:rFonts w:ascii="Arial" w:hAnsi="Arial" w:cs="Arial"/>
          <w:color w:val="000000"/>
          <w:szCs w:val="24"/>
        </w:rPr>
        <w:t xml:space="preserve"> and </w:t>
      </w:r>
      <w:proofErr w:type="spellStart"/>
      <w:r w:rsidRPr="00831335">
        <w:rPr>
          <w:rFonts w:ascii="Arial" w:hAnsi="Arial" w:cs="Arial"/>
          <w:color w:val="000000"/>
          <w:szCs w:val="24"/>
        </w:rPr>
        <w:t>Tanczer</w:t>
      </w:r>
      <w:proofErr w:type="spellEnd"/>
      <w:r w:rsidRPr="00831335">
        <w:rPr>
          <w:rFonts w:ascii="Arial" w:hAnsi="Arial" w:cs="Arial"/>
          <w:color w:val="000000"/>
          <w:szCs w:val="24"/>
        </w:rPr>
        <w:t>, 2018).</w:t>
      </w:r>
      <w:r w:rsidR="00A021CD">
        <w:rPr>
          <w:rFonts w:ascii="Arial" w:hAnsi="Arial" w:cs="Arial"/>
          <w:color w:val="000000"/>
          <w:szCs w:val="24"/>
        </w:rPr>
        <w:t xml:space="preserve"> </w:t>
      </w:r>
    </w:p>
    <w:p w14:paraId="49776743" w14:textId="25D15C49" w:rsidR="00A021CD" w:rsidRDefault="00535B54" w:rsidP="00A021CD">
      <w:pPr>
        <w:spacing w:line="480" w:lineRule="auto"/>
        <w:ind w:firstLine="576"/>
        <w:jc w:val="both"/>
        <w:rPr>
          <w:rFonts w:ascii="Arial" w:hAnsi="Arial" w:cs="Arial"/>
          <w:color w:val="424242"/>
          <w:szCs w:val="24"/>
        </w:rPr>
      </w:pPr>
      <w:r w:rsidRPr="00312389">
        <w:rPr>
          <w:rFonts w:ascii="Arial" w:hAnsi="Arial" w:cs="Arial"/>
          <w:color w:val="424242"/>
          <w:szCs w:val="24"/>
        </w:rPr>
        <w:lastRenderedPageBreak/>
        <w:t xml:space="preserve">The ITG systems available to SMEs were reviewed. Useful guidelines identified to evidence the need to bridge the gap that exists on the practical implementation of the available models to SMEs cyber policy decision-makers. The helpful guidelines provision paths to tailor ITG systems to specific industrial sectors. With this essentiality, the risk associated with SMEs application of the ITG frameworks in term of cost could help decision-makers to adopt MSGS both in the espouse of various theories with view for strategic business alignment of goals (Bergeron </w:t>
      </w:r>
      <w:r w:rsidR="00B50415" w:rsidRPr="00B50415">
        <w:rPr>
          <w:rFonts w:ascii="Arial" w:hAnsi="Arial" w:cs="Arial"/>
          <w:i/>
          <w:iCs/>
          <w:color w:val="424242"/>
          <w:szCs w:val="24"/>
        </w:rPr>
        <w:t>et al</w:t>
      </w:r>
      <w:r w:rsidRPr="00312389">
        <w:rPr>
          <w:rFonts w:ascii="Arial" w:hAnsi="Arial" w:cs="Arial"/>
          <w:color w:val="424242"/>
          <w:szCs w:val="24"/>
        </w:rPr>
        <w:t xml:space="preserve">., 2015; De </w:t>
      </w:r>
      <w:proofErr w:type="spellStart"/>
      <w:r w:rsidRPr="00312389">
        <w:rPr>
          <w:rFonts w:ascii="Arial" w:hAnsi="Arial" w:cs="Arial"/>
          <w:color w:val="424242"/>
          <w:szCs w:val="24"/>
        </w:rPr>
        <w:t>Haes</w:t>
      </w:r>
      <w:proofErr w:type="spellEnd"/>
      <w:r w:rsidRPr="00312389">
        <w:rPr>
          <w:rFonts w:ascii="Arial" w:hAnsi="Arial" w:cs="Arial"/>
          <w:color w:val="424242"/>
          <w:szCs w:val="24"/>
        </w:rPr>
        <w:t xml:space="preserve"> and </w:t>
      </w:r>
      <w:proofErr w:type="spellStart"/>
      <w:r w:rsidRPr="00312389">
        <w:rPr>
          <w:rFonts w:ascii="Arial" w:hAnsi="Arial" w:cs="Arial"/>
          <w:color w:val="424242"/>
          <w:szCs w:val="24"/>
        </w:rPr>
        <w:t>Grembergen</w:t>
      </w:r>
      <w:proofErr w:type="spellEnd"/>
      <w:r w:rsidRPr="00312389">
        <w:rPr>
          <w:rFonts w:ascii="Arial" w:hAnsi="Arial" w:cs="Arial"/>
          <w:color w:val="424242"/>
          <w:szCs w:val="24"/>
        </w:rPr>
        <w:t xml:space="preserve">, 2009; OECD 2002, 2009; Gregory </w:t>
      </w:r>
      <w:r w:rsidR="00B50415" w:rsidRPr="00B50415">
        <w:rPr>
          <w:rFonts w:ascii="Arial" w:hAnsi="Arial" w:cs="Arial"/>
          <w:i/>
          <w:iCs/>
          <w:color w:val="424242"/>
          <w:szCs w:val="24"/>
        </w:rPr>
        <w:t>et al</w:t>
      </w:r>
      <w:r w:rsidRPr="00312389">
        <w:rPr>
          <w:rFonts w:ascii="Arial" w:hAnsi="Arial" w:cs="Arial"/>
          <w:color w:val="424242"/>
          <w:szCs w:val="24"/>
        </w:rPr>
        <w:t xml:space="preserve">., 2018; </w:t>
      </w:r>
      <w:proofErr w:type="spellStart"/>
      <w:r w:rsidRPr="00312389">
        <w:rPr>
          <w:rFonts w:ascii="Arial" w:hAnsi="Arial" w:cs="Arial"/>
          <w:color w:val="424242"/>
          <w:szCs w:val="24"/>
        </w:rPr>
        <w:t>Nicho</w:t>
      </w:r>
      <w:proofErr w:type="spellEnd"/>
      <w:r w:rsidRPr="00312389">
        <w:rPr>
          <w:rFonts w:ascii="Arial" w:hAnsi="Arial" w:cs="Arial"/>
          <w:color w:val="424242"/>
          <w:szCs w:val="24"/>
        </w:rPr>
        <w:t xml:space="preserve"> and Khan, 2017; Woods and Simpson, 2017). However, the ITG implementations are helpful to decision-makers. With this approach, it focuses mostly on large enterprises. Where suggestions are available to SMEs; they were dependent on the provisions from the more massive corporation. Useful bits of advice are available to SMEs but there are needs to accentuate the preparedness of decision-makers to implement ITGs as SMEs consistently being attacked.</w:t>
      </w:r>
      <w:r w:rsidR="00A021CD">
        <w:rPr>
          <w:rFonts w:ascii="Arial" w:hAnsi="Arial" w:cs="Arial"/>
          <w:color w:val="424242"/>
          <w:szCs w:val="24"/>
        </w:rPr>
        <w:t xml:space="preserve"> </w:t>
      </w:r>
    </w:p>
    <w:p w14:paraId="073FB5D2" w14:textId="08413ABF" w:rsidR="00535B54" w:rsidRPr="003A69E8" w:rsidRDefault="00655533" w:rsidP="00A021CD">
      <w:pPr>
        <w:spacing w:line="480" w:lineRule="auto"/>
        <w:ind w:firstLine="576"/>
        <w:jc w:val="both"/>
        <w:rPr>
          <w:rFonts w:ascii="Arial" w:hAnsi="Arial" w:cs="Arial"/>
          <w:color w:val="424242"/>
          <w:szCs w:val="24"/>
        </w:rPr>
      </w:pPr>
      <w:r w:rsidRPr="003A69E8">
        <w:rPr>
          <w:rFonts w:ascii="Arial" w:hAnsi="Arial" w:cs="Arial"/>
          <w:color w:val="000000"/>
          <w:szCs w:val="24"/>
        </w:rPr>
        <w:t>A vital issue for the development and deployment of implementable cyber policy in UK’s SME Aviation is the suggestions on strategic directions ought to be an outcome of the research.</w:t>
      </w:r>
      <w:r w:rsidR="003A69E8" w:rsidRPr="003A69E8">
        <w:rPr>
          <w:rFonts w:ascii="Arial" w:hAnsi="Arial" w:cs="Arial"/>
          <w:color w:val="000000"/>
          <w:szCs w:val="24"/>
        </w:rPr>
        <w:t xml:space="preserve"> </w:t>
      </w:r>
      <w:r w:rsidRPr="003A69E8">
        <w:rPr>
          <w:rFonts w:ascii="Arial" w:hAnsi="Arial" w:cs="Arial"/>
          <w:color w:val="000000"/>
          <w:szCs w:val="24"/>
        </w:rPr>
        <w:t xml:space="preserve">There exist various means available to decision-makers that lean on various professional discussions and assumptions. There is a need to arrive at a deeper understanding of how to formulate helpful recommendations on cyber policy implementation challenges in the UK’s SME Aviation industry. In fulfilling this, </w:t>
      </w:r>
      <w:r w:rsidR="003A69E8" w:rsidRPr="003A69E8">
        <w:rPr>
          <w:rFonts w:ascii="Arial" w:hAnsi="Arial" w:cs="Arial"/>
          <w:color w:val="000000"/>
          <w:szCs w:val="24"/>
        </w:rPr>
        <w:t>an e</w:t>
      </w:r>
      <w:r w:rsidR="00535B54" w:rsidRPr="003A69E8">
        <w:rPr>
          <w:rFonts w:ascii="Arial" w:hAnsi="Arial" w:cs="Arial"/>
          <w:szCs w:val="24"/>
        </w:rPr>
        <w:t xml:space="preserve">xploratory research will be conducted to specifically attempt to find out how the vulnerability of ITG models and MSGS correlate to supporting decision-makers. Also, to accentuate the emerging issues on the domain of strategic directions for the successful implementation of cyber </w:t>
      </w:r>
      <w:r w:rsidR="00535B54" w:rsidRPr="003A69E8">
        <w:rPr>
          <w:rFonts w:ascii="Arial" w:hAnsi="Arial" w:cs="Arial"/>
          <w:szCs w:val="24"/>
        </w:rPr>
        <w:lastRenderedPageBreak/>
        <w:t xml:space="preserve">policy within the UK’s SME Aviation sector. The next stage of this study will detail the Research Methods in use to capture the secondary data, including details on the research strategy and the overall management of the researcher’s role. </w:t>
      </w:r>
    </w:p>
    <w:p w14:paraId="2DEFD19C" w14:textId="3796400D" w:rsidR="00870E75" w:rsidRPr="00312389" w:rsidRDefault="002A44C0" w:rsidP="00D40EBB">
      <w:pPr>
        <w:pStyle w:val="Heading1"/>
        <w:spacing w:line="480" w:lineRule="auto"/>
        <w:rPr>
          <w:rFonts w:ascii="Arial" w:hAnsi="Arial" w:cs="Arial"/>
        </w:rPr>
      </w:pPr>
      <w:bookmarkStart w:id="30" w:name="_Toc72189382"/>
      <w:r w:rsidRPr="00312389">
        <w:rPr>
          <w:rFonts w:ascii="Arial" w:hAnsi="Arial" w:cs="Arial"/>
        </w:rPr>
        <w:lastRenderedPageBreak/>
        <w:t>Research Methods</w:t>
      </w:r>
      <w:bookmarkEnd w:id="30"/>
    </w:p>
    <w:p w14:paraId="60BEDC9E" w14:textId="77777777" w:rsidR="002A44C0" w:rsidRPr="00312389" w:rsidRDefault="002A44C0" w:rsidP="00DC6B98">
      <w:pPr>
        <w:spacing w:line="480" w:lineRule="auto"/>
        <w:ind w:firstLine="357"/>
        <w:jc w:val="both"/>
        <w:rPr>
          <w:rFonts w:ascii="Arial" w:hAnsi="Arial" w:cs="Arial"/>
          <w:szCs w:val="24"/>
        </w:rPr>
      </w:pPr>
      <w:r w:rsidRPr="00312389">
        <w:rPr>
          <w:rFonts w:ascii="Arial" w:hAnsi="Arial" w:cs="Arial"/>
          <w:szCs w:val="24"/>
        </w:rPr>
        <w:t>For this research study, there are several inter-related objectives set within the ITG implementation and MSGS to the implementable cyber policy in SME Aviation:</w:t>
      </w:r>
    </w:p>
    <w:p w14:paraId="17C55E6A" w14:textId="27C11EEB" w:rsidR="0001751E" w:rsidRPr="0001751E" w:rsidRDefault="0001751E" w:rsidP="00D40EBB">
      <w:pPr>
        <w:pStyle w:val="NormalWeb"/>
        <w:numPr>
          <w:ilvl w:val="0"/>
          <w:numId w:val="21"/>
        </w:numPr>
        <w:spacing w:line="480" w:lineRule="auto"/>
        <w:ind w:left="714" w:hanging="357"/>
        <w:rPr>
          <w:rFonts w:ascii="Arial" w:hAnsi="Arial" w:cs="Arial"/>
          <w:color w:val="000000"/>
        </w:rPr>
      </w:pPr>
      <w:r w:rsidRPr="0001751E">
        <w:rPr>
          <w:rFonts w:ascii="Arial" w:hAnsi="Arial" w:cs="Arial"/>
          <w:color w:val="000000"/>
        </w:rPr>
        <w:t>Analyse the linkages between ITG and MSGS to the implementation of a cyber policy</w:t>
      </w:r>
    </w:p>
    <w:p w14:paraId="09C3CEDE" w14:textId="558A79D8" w:rsidR="0001751E" w:rsidRPr="0001751E" w:rsidRDefault="0001751E" w:rsidP="00D40EBB">
      <w:pPr>
        <w:pStyle w:val="NormalWeb"/>
        <w:numPr>
          <w:ilvl w:val="0"/>
          <w:numId w:val="21"/>
        </w:numPr>
        <w:spacing w:line="480" w:lineRule="auto"/>
        <w:ind w:left="714" w:hanging="357"/>
        <w:rPr>
          <w:rFonts w:ascii="Arial" w:hAnsi="Arial" w:cs="Arial"/>
          <w:color w:val="000000"/>
        </w:rPr>
      </w:pPr>
      <w:r w:rsidRPr="0001751E">
        <w:rPr>
          <w:rFonts w:ascii="Arial" w:hAnsi="Arial" w:cs="Arial"/>
          <w:color w:val="000000"/>
        </w:rPr>
        <w:t>Explore scaling and scalability mechanisms related to decision making strategy tools</w:t>
      </w:r>
    </w:p>
    <w:p w14:paraId="37E3E3A1" w14:textId="7EEEB1BE" w:rsidR="0001751E" w:rsidRPr="0001751E" w:rsidRDefault="0001751E" w:rsidP="00D40EBB">
      <w:pPr>
        <w:pStyle w:val="NormalWeb"/>
        <w:numPr>
          <w:ilvl w:val="0"/>
          <w:numId w:val="21"/>
        </w:numPr>
        <w:spacing w:line="480" w:lineRule="auto"/>
        <w:ind w:left="714" w:hanging="357"/>
        <w:rPr>
          <w:rFonts w:ascii="Arial" w:hAnsi="Arial" w:cs="Arial"/>
          <w:color w:val="000000"/>
        </w:rPr>
      </w:pPr>
      <w:r w:rsidRPr="0001751E">
        <w:rPr>
          <w:rFonts w:ascii="Arial" w:hAnsi="Arial" w:cs="Arial"/>
          <w:color w:val="000000"/>
        </w:rPr>
        <w:t>Investigate how the vulnerability of ITG models and MSGS correlate to supporting decision-makers</w:t>
      </w:r>
    </w:p>
    <w:p w14:paraId="3CA06E2E" w14:textId="6FBDDF50" w:rsidR="0001751E" w:rsidRPr="0001751E" w:rsidRDefault="0001751E" w:rsidP="00D40EBB">
      <w:pPr>
        <w:pStyle w:val="NormalWeb"/>
        <w:numPr>
          <w:ilvl w:val="0"/>
          <w:numId w:val="21"/>
        </w:numPr>
        <w:spacing w:line="480" w:lineRule="auto"/>
        <w:ind w:left="714" w:hanging="357"/>
        <w:rPr>
          <w:rFonts w:ascii="Arial" w:hAnsi="Arial" w:cs="Arial"/>
          <w:color w:val="000000"/>
        </w:rPr>
      </w:pPr>
      <w:r w:rsidRPr="0001751E">
        <w:rPr>
          <w:rFonts w:ascii="Arial" w:hAnsi="Arial" w:cs="Arial"/>
          <w:color w:val="000000"/>
        </w:rPr>
        <w:t>Theorise scaling as a security strategy in coping with ITG implementation.</w:t>
      </w:r>
    </w:p>
    <w:p w14:paraId="71AFBA9E" w14:textId="54BF22F9" w:rsidR="0001751E" w:rsidRPr="0001751E" w:rsidRDefault="0001751E" w:rsidP="00D40EBB">
      <w:pPr>
        <w:pStyle w:val="NormalWeb"/>
        <w:numPr>
          <w:ilvl w:val="0"/>
          <w:numId w:val="21"/>
        </w:numPr>
        <w:spacing w:line="480" w:lineRule="auto"/>
        <w:ind w:left="714" w:hanging="357"/>
        <w:rPr>
          <w:rFonts w:ascii="Arial" w:hAnsi="Arial" w:cs="Arial"/>
          <w:color w:val="000000"/>
        </w:rPr>
      </w:pPr>
      <w:r w:rsidRPr="0001751E">
        <w:rPr>
          <w:rFonts w:ascii="Arial" w:hAnsi="Arial" w:cs="Arial"/>
          <w:color w:val="000000"/>
        </w:rPr>
        <w:t>Discuss the decision-making scalability mechanism to the successful implementation of ITG within SME Aviation.</w:t>
      </w:r>
    </w:p>
    <w:p w14:paraId="7D972C6A" w14:textId="388BBBBC" w:rsidR="0001751E" w:rsidRPr="0001751E" w:rsidRDefault="0001751E" w:rsidP="00CB530B">
      <w:pPr>
        <w:pStyle w:val="NormalWeb"/>
        <w:numPr>
          <w:ilvl w:val="0"/>
          <w:numId w:val="21"/>
        </w:numPr>
        <w:spacing w:line="480" w:lineRule="auto"/>
        <w:ind w:left="714" w:hanging="357"/>
        <w:rPr>
          <w:rFonts w:ascii="Arial" w:hAnsi="Arial" w:cs="Arial"/>
          <w:color w:val="000000"/>
        </w:rPr>
      </w:pPr>
      <w:r w:rsidRPr="0001751E">
        <w:rPr>
          <w:rFonts w:ascii="Arial" w:hAnsi="Arial" w:cs="Arial"/>
          <w:color w:val="000000"/>
        </w:rPr>
        <w:t>Formulate recommendations on cyber policy implementation challenges in SME Aviation.</w:t>
      </w:r>
    </w:p>
    <w:p w14:paraId="648E745E" w14:textId="6E942BB3" w:rsidR="00DC6B98" w:rsidRDefault="002A44C0" w:rsidP="00DC6B98">
      <w:pPr>
        <w:spacing w:line="480" w:lineRule="auto"/>
        <w:ind w:firstLine="357"/>
        <w:jc w:val="both"/>
        <w:rPr>
          <w:rFonts w:ascii="Arial" w:hAnsi="Arial" w:cs="Arial"/>
          <w:szCs w:val="24"/>
        </w:rPr>
      </w:pPr>
      <w:r w:rsidRPr="00312389">
        <w:rPr>
          <w:rFonts w:ascii="Arial" w:hAnsi="Arial" w:cs="Arial"/>
          <w:szCs w:val="24"/>
        </w:rPr>
        <w:t xml:space="preserve">An essential aspect of this research activity relates to Objective 3 and 5. With Objective 3,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w:t>
      </w:r>
      <w:proofErr w:type="spellEnd"/>
      <w:r w:rsidRPr="00312389">
        <w:rPr>
          <w:rFonts w:ascii="Arial" w:hAnsi="Arial" w:cs="Arial"/>
          <w:szCs w:val="24"/>
        </w:rPr>
        <w:t xml:space="preserve"> (2008) noted that research in the domain of ITG implementations and its relationship with different organisational element and alignment is in its early stages. The associated theoretical models are rarely accessible if not scarcely available (</w:t>
      </w:r>
      <w:proofErr w:type="spellStart"/>
      <w:r w:rsidRPr="00312389">
        <w:rPr>
          <w:rFonts w:ascii="Arial" w:hAnsi="Arial" w:cs="Arial"/>
          <w:szCs w:val="24"/>
        </w:rPr>
        <w:t>Scheepers</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2014; Song </w:t>
      </w:r>
      <w:r w:rsidR="00B50415" w:rsidRPr="00B50415">
        <w:rPr>
          <w:rFonts w:ascii="Arial" w:hAnsi="Arial" w:cs="Arial"/>
          <w:i/>
          <w:iCs/>
          <w:szCs w:val="24"/>
        </w:rPr>
        <w:t>et al</w:t>
      </w:r>
      <w:r w:rsidRPr="00312389">
        <w:rPr>
          <w:rFonts w:ascii="Arial" w:hAnsi="Arial" w:cs="Arial"/>
          <w:szCs w:val="24"/>
        </w:rPr>
        <w:t xml:space="preserve">., 2018). The opportunity to study the concept of ITG, and the current ideology, only emerged in the late nineties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w:t>
      </w:r>
      <w:proofErr w:type="spellEnd"/>
      <w:r w:rsidRPr="00312389">
        <w:rPr>
          <w:rFonts w:ascii="Arial" w:hAnsi="Arial" w:cs="Arial"/>
          <w:szCs w:val="24"/>
        </w:rPr>
        <w:t xml:space="preserve">, 2009; Gregory </w:t>
      </w:r>
      <w:r w:rsidR="00B50415" w:rsidRPr="00B50415">
        <w:rPr>
          <w:rFonts w:ascii="Arial" w:hAnsi="Arial" w:cs="Arial"/>
          <w:i/>
          <w:iCs/>
          <w:szCs w:val="24"/>
        </w:rPr>
        <w:t>et al</w:t>
      </w:r>
      <w:r w:rsidRPr="00312389">
        <w:rPr>
          <w:rFonts w:ascii="Arial" w:hAnsi="Arial" w:cs="Arial"/>
          <w:szCs w:val="24"/>
        </w:rPr>
        <w:t xml:space="preserve">., 2018; </w:t>
      </w:r>
      <w:proofErr w:type="spellStart"/>
      <w:r w:rsidRPr="00312389">
        <w:rPr>
          <w:rFonts w:ascii="Arial" w:hAnsi="Arial" w:cs="Arial"/>
          <w:szCs w:val="24"/>
        </w:rPr>
        <w:t>Asgarkhani</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2018). The rare advancement in the strategy development of ITG published by UK National Computing Centre remains a developing issue in SMEs </w:t>
      </w:r>
      <w:r w:rsidRPr="00312389">
        <w:rPr>
          <w:rFonts w:ascii="Arial" w:hAnsi="Arial" w:cs="Arial"/>
          <w:szCs w:val="24"/>
        </w:rPr>
        <w:lastRenderedPageBreak/>
        <w:t>(Manchester. National Computing Centre, 2005, pp. 5-6). Nonetheless, the protectable cyber policy assertion in OECD (2012) shows a piece of evidence that it is rarely in practice within SMEs (Wilkin, 2012; Williams, 2014; Weimer and Vining, 2017).</w:t>
      </w:r>
      <w:r w:rsidR="00DC6B98">
        <w:rPr>
          <w:rFonts w:ascii="Arial" w:hAnsi="Arial" w:cs="Arial"/>
          <w:szCs w:val="24"/>
        </w:rPr>
        <w:t xml:space="preserve"> </w:t>
      </w:r>
    </w:p>
    <w:p w14:paraId="408F0DC6" w14:textId="77777777" w:rsidR="00DC6B98" w:rsidRDefault="002A44C0" w:rsidP="00DC6B98">
      <w:pPr>
        <w:spacing w:line="480" w:lineRule="auto"/>
        <w:ind w:firstLine="357"/>
        <w:jc w:val="both"/>
        <w:rPr>
          <w:rFonts w:ascii="Arial" w:hAnsi="Arial" w:cs="Arial"/>
          <w:color w:val="333333"/>
          <w:szCs w:val="24"/>
          <w:shd w:val="clear" w:color="auto" w:fill="FFFFFF"/>
          <w:lang w:bidi="en-US"/>
        </w:rPr>
      </w:pPr>
      <w:r w:rsidRPr="00312389">
        <w:rPr>
          <w:rFonts w:ascii="Arial" w:hAnsi="Arial" w:cs="Arial"/>
          <w:color w:val="333333"/>
          <w:szCs w:val="24"/>
          <w:shd w:val="clear" w:color="auto" w:fill="FFFFFF"/>
          <w:lang w:bidi="en-US"/>
        </w:rPr>
        <w:t>Similarly, objective 5 allows studying the ITG from the UK’s SME decision-makers perceptive. The approach to implementable governance frameworks within SME Aviation is emerging.   With methodologies, the contextual analysis gives a stage to comprehend the case top to bottom, and in its unique setting, perceiving its unpredictability and its situation. Additionally, planning helps in safeguarding and grasp the wholeness and solidarity of the case. The opportunity to some researchers in ITG has been less successful than their colleagues in other disciplines in developing a cumulative research tradition (</w:t>
      </w:r>
      <w:proofErr w:type="spellStart"/>
      <w:r w:rsidRPr="00312389">
        <w:rPr>
          <w:rFonts w:ascii="Arial" w:hAnsi="Arial" w:cs="Arial"/>
          <w:color w:val="333333"/>
          <w:szCs w:val="24"/>
          <w:shd w:val="clear" w:color="auto" w:fill="FFFFFF"/>
          <w:lang w:bidi="en-US"/>
        </w:rPr>
        <w:t>Benbasat</w:t>
      </w:r>
      <w:proofErr w:type="spellEnd"/>
      <w:r w:rsidRPr="00312389">
        <w:rPr>
          <w:rFonts w:ascii="Arial" w:hAnsi="Arial" w:cs="Arial"/>
          <w:color w:val="333333"/>
          <w:szCs w:val="24"/>
          <w:shd w:val="clear" w:color="auto" w:fill="FFFFFF"/>
          <w:lang w:bidi="en-US"/>
        </w:rPr>
        <w:t xml:space="preserve"> and </w:t>
      </w:r>
      <w:proofErr w:type="spellStart"/>
      <w:r w:rsidRPr="00312389">
        <w:rPr>
          <w:rFonts w:ascii="Arial" w:hAnsi="Arial" w:cs="Arial"/>
          <w:color w:val="333333"/>
          <w:szCs w:val="24"/>
          <w:shd w:val="clear" w:color="auto" w:fill="FFFFFF"/>
          <w:lang w:bidi="en-US"/>
        </w:rPr>
        <w:t>Zmud</w:t>
      </w:r>
      <w:proofErr w:type="spellEnd"/>
      <w:r w:rsidRPr="00312389">
        <w:rPr>
          <w:rFonts w:ascii="Arial" w:hAnsi="Arial" w:cs="Arial"/>
          <w:color w:val="333333"/>
          <w:szCs w:val="24"/>
          <w:shd w:val="clear" w:color="auto" w:fill="FFFFFF"/>
          <w:lang w:bidi="en-US"/>
        </w:rPr>
        <w:t xml:space="preserve">, 1999; </w:t>
      </w:r>
      <w:proofErr w:type="spellStart"/>
      <w:r w:rsidRPr="00312389">
        <w:rPr>
          <w:rFonts w:ascii="Arial" w:hAnsi="Arial" w:cs="Arial"/>
          <w:color w:val="333333"/>
          <w:szCs w:val="24"/>
          <w:shd w:val="clear" w:color="auto" w:fill="FFFFFF"/>
          <w:lang w:bidi="en-US"/>
        </w:rPr>
        <w:t>Puklavec</w:t>
      </w:r>
      <w:proofErr w:type="spellEnd"/>
      <w:r w:rsidRPr="00312389">
        <w:rPr>
          <w:rFonts w:ascii="Arial" w:hAnsi="Arial" w:cs="Arial"/>
          <w:color w:val="333333"/>
          <w:szCs w:val="24"/>
          <w:shd w:val="clear" w:color="auto" w:fill="FFFFFF"/>
          <w:lang w:bidi="en-US"/>
        </w:rPr>
        <w:t xml:space="preserve">, Oliveira and </w:t>
      </w:r>
      <w:proofErr w:type="spellStart"/>
      <w:r w:rsidRPr="00312389">
        <w:rPr>
          <w:rFonts w:ascii="Arial" w:hAnsi="Arial" w:cs="Arial"/>
          <w:color w:val="333333"/>
          <w:szCs w:val="24"/>
          <w:shd w:val="clear" w:color="auto" w:fill="FFFFFF"/>
          <w:lang w:bidi="en-US"/>
        </w:rPr>
        <w:t>Popovič</w:t>
      </w:r>
      <w:proofErr w:type="spellEnd"/>
      <w:r w:rsidRPr="00312389">
        <w:rPr>
          <w:rFonts w:ascii="Arial" w:hAnsi="Arial" w:cs="Arial"/>
          <w:color w:val="333333"/>
          <w:szCs w:val="24"/>
          <w:shd w:val="clear" w:color="auto" w:fill="FFFFFF"/>
          <w:lang w:bidi="en-US"/>
        </w:rPr>
        <w:t xml:space="preserve">, 2018). Since </w:t>
      </w:r>
      <w:proofErr w:type="spellStart"/>
      <w:r w:rsidRPr="00312389">
        <w:rPr>
          <w:rFonts w:ascii="Arial" w:hAnsi="Arial" w:cs="Arial"/>
          <w:color w:val="333333"/>
          <w:szCs w:val="24"/>
          <w:shd w:val="clear" w:color="auto" w:fill="FFFFFF"/>
          <w:lang w:bidi="en-US"/>
        </w:rPr>
        <w:t>Benbasat</w:t>
      </w:r>
      <w:proofErr w:type="spellEnd"/>
      <w:r w:rsidRPr="00312389">
        <w:rPr>
          <w:rFonts w:ascii="Arial" w:hAnsi="Arial" w:cs="Arial"/>
          <w:color w:val="333333"/>
          <w:szCs w:val="24"/>
          <w:shd w:val="clear" w:color="auto" w:fill="FFFFFF"/>
          <w:lang w:bidi="en-US"/>
        </w:rPr>
        <w:t xml:space="preserve"> and </w:t>
      </w:r>
      <w:proofErr w:type="spellStart"/>
      <w:r w:rsidRPr="00312389">
        <w:rPr>
          <w:rFonts w:ascii="Arial" w:hAnsi="Arial" w:cs="Arial"/>
          <w:color w:val="333333"/>
          <w:szCs w:val="24"/>
          <w:shd w:val="clear" w:color="auto" w:fill="FFFFFF"/>
          <w:lang w:bidi="en-US"/>
        </w:rPr>
        <w:t>Zmud’s</w:t>
      </w:r>
      <w:proofErr w:type="spellEnd"/>
      <w:r w:rsidRPr="00312389">
        <w:rPr>
          <w:rFonts w:ascii="Arial" w:hAnsi="Arial" w:cs="Arial"/>
          <w:color w:val="333333"/>
          <w:szCs w:val="24"/>
          <w:shd w:val="clear" w:color="auto" w:fill="FFFFFF"/>
          <w:lang w:bidi="en-US"/>
        </w:rPr>
        <w:t xml:space="preserve"> work in the late nineties, the assertion significantly remains. Therefore, SME Aviation in this study is more of a strategy than a method (Meyer, 2015; Bulmer, 2017). </w:t>
      </w:r>
    </w:p>
    <w:p w14:paraId="776C13EC" w14:textId="77777777" w:rsidR="00803E54" w:rsidRDefault="003E1351" w:rsidP="00803E54">
      <w:pPr>
        <w:spacing w:line="480" w:lineRule="auto"/>
        <w:ind w:firstLine="357"/>
        <w:jc w:val="both"/>
        <w:rPr>
          <w:rFonts w:ascii="Arial" w:hAnsi="Arial" w:cs="Arial"/>
          <w:color w:val="000000"/>
          <w:szCs w:val="24"/>
        </w:rPr>
      </w:pPr>
      <w:r w:rsidRPr="003E1351">
        <w:rPr>
          <w:rFonts w:ascii="Arial" w:hAnsi="Arial" w:cs="Arial"/>
          <w:color w:val="000000"/>
          <w:szCs w:val="24"/>
        </w:rPr>
        <w:t xml:space="preserve">The provision in Chapter 2 – ‘Issues and review of related literature’ identified the gap in current research to show there was ample evidence on the need to diminished costs, provide access to sizeable IT infrastructure, and provide guidance and training for cyber policy specialised decision-makers. Such long-term benefits to SMEs’ decision-makers could also be a pathway to gain further implementable ITG via cyber policy implementation, and credibility ought to be based on research. The implementation of a protectable cyber policy stands out as SMEs remain susceptible to continuous malicious attack, especially the UK’s SME Aviation. </w:t>
      </w:r>
    </w:p>
    <w:p w14:paraId="4352A227" w14:textId="77777777" w:rsidR="00803E54" w:rsidRDefault="003E1351" w:rsidP="00803E54">
      <w:pPr>
        <w:spacing w:line="480" w:lineRule="auto"/>
        <w:ind w:firstLine="357"/>
        <w:jc w:val="both"/>
        <w:rPr>
          <w:rFonts w:ascii="Arial" w:hAnsi="Arial" w:cs="Arial"/>
          <w:color w:val="000000"/>
          <w:szCs w:val="24"/>
        </w:rPr>
      </w:pPr>
      <w:r w:rsidRPr="003E1351">
        <w:rPr>
          <w:rFonts w:ascii="Arial" w:hAnsi="Arial" w:cs="Arial"/>
          <w:color w:val="000000"/>
          <w:szCs w:val="24"/>
        </w:rPr>
        <w:lastRenderedPageBreak/>
        <w:t>An essential contribution of this exploration will be to study and analyse secondary data to investigate how the vulnerability of ITG models and MSGS correlate to supporting decision-makers and discuss the decision-making scalability mechanism to the successful implementation of ITG within SME Aviation. The previous chapter addressed objectives 1, 2 and 4 in the form of a review of literature in the subject domain of ITG; Objectives 3 and 5 take this research one step further through the secondary data discussion and analysis of related reports of UK’s SME Aviation extracted from journal articles and credible study platform – the futurelearn.com.</w:t>
      </w:r>
    </w:p>
    <w:p w14:paraId="33225BF7" w14:textId="77777777" w:rsidR="00803E54" w:rsidRDefault="002A44C0" w:rsidP="00803E54">
      <w:pPr>
        <w:spacing w:line="480" w:lineRule="auto"/>
        <w:ind w:firstLine="357"/>
        <w:jc w:val="both"/>
        <w:rPr>
          <w:rFonts w:ascii="Arial" w:hAnsi="Arial" w:cs="Arial"/>
          <w:szCs w:val="24"/>
        </w:rPr>
      </w:pPr>
      <w:r w:rsidRPr="00312389">
        <w:rPr>
          <w:rFonts w:ascii="Arial" w:hAnsi="Arial" w:cs="Arial"/>
          <w:szCs w:val="24"/>
        </w:rPr>
        <w:t>Primarily, a focus on secondary data obtainable from journal articles and a futurelearn.com study platform will be used to collect data on SME decision-makers. The approach to developing and implementing cyber policy - data will also be raised on stakeholder views considering the obstacles to the implementation of ITG by SMEs. Such an opportunity will provide a basis for future research on why SMEs are becoming involved in the application of ITG models. Further information on how such could help in the successful implementation of ITG by SMEs will be explored/evaluated. Subsequently, this includes theorising scaling in ITG to determine the correlation between ITG and MSGS.  Similarly, a fuller insight becomes achievable by the researcher on the implementable ITG; whereby the strategy is compared to the theory in practice. The findings remain a contribution to knowledge.</w:t>
      </w:r>
      <w:r w:rsidR="00803E54">
        <w:rPr>
          <w:rFonts w:ascii="Arial" w:hAnsi="Arial" w:cs="Arial"/>
          <w:szCs w:val="24"/>
        </w:rPr>
        <w:t xml:space="preserve"> </w:t>
      </w:r>
    </w:p>
    <w:p w14:paraId="367092F7" w14:textId="43FF45B7" w:rsidR="002A44C0" w:rsidRDefault="002A44C0" w:rsidP="00803E54">
      <w:pPr>
        <w:spacing w:line="480" w:lineRule="auto"/>
        <w:ind w:firstLine="357"/>
        <w:jc w:val="both"/>
        <w:rPr>
          <w:rFonts w:ascii="Arial" w:hAnsi="Arial" w:cs="Arial"/>
          <w:szCs w:val="24"/>
        </w:rPr>
      </w:pPr>
      <w:r w:rsidRPr="00312389">
        <w:rPr>
          <w:rFonts w:ascii="Arial" w:hAnsi="Arial" w:cs="Arial"/>
          <w:szCs w:val="24"/>
        </w:rPr>
        <w:t xml:space="preserve">This section – Research Methods will give the subtleties of the optional information procedure embraced to address the examination issues recognised above, together with the methods for gathering information for the investigation, including the interpretation and the examination of the data received. The section </w:t>
      </w:r>
      <w:r w:rsidRPr="00312389">
        <w:rPr>
          <w:rFonts w:ascii="Arial" w:hAnsi="Arial" w:cs="Arial"/>
          <w:szCs w:val="24"/>
        </w:rPr>
        <w:lastRenderedPageBreak/>
        <w:t>will conclude by highlighting the constraints with the choice of secondary data strategy and its usage.</w:t>
      </w:r>
    </w:p>
    <w:p w14:paraId="3D875B4B" w14:textId="2C308AB2" w:rsidR="002E234C" w:rsidRPr="00312389" w:rsidRDefault="002E234C" w:rsidP="00D40EBB">
      <w:pPr>
        <w:pStyle w:val="Heading2"/>
        <w:spacing w:line="480" w:lineRule="auto"/>
        <w:rPr>
          <w:rFonts w:ascii="Arial" w:hAnsi="Arial" w:cs="Arial"/>
        </w:rPr>
      </w:pPr>
      <w:bookmarkStart w:id="31" w:name="_Toc72189383"/>
      <w:r w:rsidRPr="00312389">
        <w:rPr>
          <w:rFonts w:ascii="Arial" w:hAnsi="Arial" w:cs="Arial"/>
        </w:rPr>
        <w:t>Re</w:t>
      </w:r>
      <w:r w:rsidR="002A44C0" w:rsidRPr="00312389">
        <w:rPr>
          <w:rFonts w:ascii="Arial" w:hAnsi="Arial" w:cs="Arial"/>
        </w:rPr>
        <w:t>search Strategy and Justification</w:t>
      </w:r>
      <w:bookmarkEnd w:id="31"/>
    </w:p>
    <w:p w14:paraId="49A6C338" w14:textId="3BFE73C7" w:rsidR="003E11BD" w:rsidRDefault="002A44C0" w:rsidP="003E11BD">
      <w:pPr>
        <w:spacing w:line="480" w:lineRule="auto"/>
        <w:ind w:firstLine="576"/>
        <w:jc w:val="both"/>
        <w:rPr>
          <w:rFonts w:ascii="Arial" w:hAnsi="Arial" w:cs="Arial"/>
          <w:szCs w:val="24"/>
        </w:rPr>
      </w:pPr>
      <w:r w:rsidRPr="00312389">
        <w:rPr>
          <w:rFonts w:ascii="Arial" w:hAnsi="Arial" w:cs="Arial"/>
          <w:szCs w:val="24"/>
        </w:rPr>
        <w:t xml:space="preserve">Research practitioners over the years sum up the use of research strategies as what makes a difference is not the mark that is joined to a specific system, however whether it is suitable for specific research (Saunders </w:t>
      </w:r>
      <w:r w:rsidR="00B50415" w:rsidRPr="00B50415">
        <w:rPr>
          <w:rFonts w:ascii="Arial" w:hAnsi="Arial" w:cs="Arial"/>
          <w:i/>
          <w:iCs/>
          <w:szCs w:val="24"/>
        </w:rPr>
        <w:t>et al</w:t>
      </w:r>
      <w:r w:rsidRPr="00312389">
        <w:rPr>
          <w:rFonts w:ascii="Arial" w:hAnsi="Arial" w:cs="Arial"/>
          <w:szCs w:val="24"/>
        </w:rPr>
        <w:t xml:space="preserve">., 2007; Silverman, 2016; O’Sullivan </w:t>
      </w:r>
      <w:r w:rsidR="00B50415" w:rsidRPr="00B50415">
        <w:rPr>
          <w:rFonts w:ascii="Arial" w:hAnsi="Arial" w:cs="Arial"/>
          <w:i/>
          <w:iCs/>
          <w:szCs w:val="24"/>
        </w:rPr>
        <w:t>et al</w:t>
      </w:r>
      <w:r w:rsidRPr="00312389">
        <w:rPr>
          <w:rFonts w:ascii="Arial" w:hAnsi="Arial" w:cs="Arial"/>
          <w:szCs w:val="24"/>
        </w:rPr>
        <w:t>., 2017). Objective 3 of this study sets out to ‘investigate how the vulnerability of ITG models and MSGS correlate to supporting decision-makers’, and this will be implemented through the discussion and analysis of secondary data. Similarly, objective 5 will be implemented via secondary data analysis of a survey appended to an academic programme delivered via the futurelearn.com platform. The question then arises, what research strategy ought to be adopted to meet objectives 3 and 5?</w:t>
      </w:r>
    </w:p>
    <w:p w14:paraId="5A594DBB" w14:textId="77777777" w:rsidR="003E11BD" w:rsidRDefault="002A44C0" w:rsidP="003E11BD">
      <w:pPr>
        <w:spacing w:line="480" w:lineRule="auto"/>
        <w:ind w:firstLine="576"/>
        <w:jc w:val="both"/>
        <w:rPr>
          <w:rFonts w:ascii="Arial" w:hAnsi="Arial" w:cs="Arial"/>
          <w:szCs w:val="24"/>
        </w:rPr>
      </w:pPr>
      <w:r w:rsidRPr="00312389">
        <w:rPr>
          <w:rFonts w:ascii="Arial" w:hAnsi="Arial" w:cs="Arial"/>
          <w:szCs w:val="24"/>
        </w:rPr>
        <w:t>The exploratory research in this study centres on investigating practitioners’ stakeholder view regarding objective 3 and to discuss decision-makers’ stakeholder perception in relation to implementable cyber policy in SMEs taken the Aviation industry as a strategy. Such strategy, in essence, is primarily qualitative in nature, not quantitative, where the arrangement exist to demonstrate that in satisfying objectives 3 and 5, qualitative identifies with exploring things in their common setting, endeavouring to understand, or decipher, marvels as far as the implications individuals bring to them (</w:t>
      </w:r>
      <w:proofErr w:type="spellStart"/>
      <w:r w:rsidRPr="00312389">
        <w:rPr>
          <w:rFonts w:ascii="Arial" w:hAnsi="Arial" w:cs="Arial"/>
          <w:color w:val="222222"/>
          <w:szCs w:val="24"/>
        </w:rPr>
        <w:t>Denzin</w:t>
      </w:r>
      <w:proofErr w:type="spellEnd"/>
      <w:r w:rsidRPr="00312389">
        <w:rPr>
          <w:rFonts w:ascii="Arial" w:hAnsi="Arial" w:cs="Arial"/>
          <w:color w:val="222222"/>
          <w:szCs w:val="24"/>
        </w:rPr>
        <w:t xml:space="preserve"> and Lincoln</w:t>
      </w:r>
      <w:r w:rsidRPr="00312389">
        <w:rPr>
          <w:rFonts w:ascii="Arial" w:hAnsi="Arial" w:cs="Arial"/>
          <w:szCs w:val="24"/>
        </w:rPr>
        <w:t xml:space="preserve">, 2011; Silverman, 2016). </w:t>
      </w:r>
    </w:p>
    <w:p w14:paraId="47650C4F" w14:textId="7C1FBDBD" w:rsidR="003E11BD" w:rsidRDefault="002A44C0" w:rsidP="003E11BD">
      <w:pPr>
        <w:spacing w:line="480" w:lineRule="auto"/>
        <w:ind w:firstLine="576"/>
        <w:jc w:val="both"/>
        <w:rPr>
          <w:rFonts w:ascii="Arial" w:hAnsi="Arial" w:cs="Arial"/>
          <w:szCs w:val="24"/>
        </w:rPr>
      </w:pPr>
      <w:r w:rsidRPr="00312389">
        <w:rPr>
          <w:rFonts w:ascii="Arial" w:hAnsi="Arial" w:cs="Arial"/>
          <w:szCs w:val="24"/>
        </w:rPr>
        <w:t xml:space="preserve">Consequently, the utilisation of existing data for research of this nature should be sufficient to achieve the objective.  Johnston (2017) asserts that while secondary analysis is adaptable, it can be used in few different ways. It is likewise an </w:t>
      </w:r>
      <w:r w:rsidRPr="00312389">
        <w:rPr>
          <w:rFonts w:ascii="Arial" w:hAnsi="Arial" w:cs="Arial"/>
          <w:szCs w:val="24"/>
        </w:rPr>
        <w:lastRenderedPageBreak/>
        <w:t xml:space="preserve">experimental exercise and a deliberate technique with procedural and evaluative advances liken to the empirical gathering and assessing of essential information.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w:t>
      </w:r>
      <w:proofErr w:type="spellEnd"/>
      <w:r w:rsidRPr="00312389">
        <w:rPr>
          <w:rFonts w:ascii="Arial" w:hAnsi="Arial" w:cs="Arial"/>
          <w:szCs w:val="24"/>
        </w:rPr>
        <w:t xml:space="preserve"> (2008) noted that research in the domain of ITG implementations and its relationship with different organisational element and alignment is in its early stages. The associated theoretical models are rarely accessible if not scarcely available (</w:t>
      </w:r>
      <w:proofErr w:type="spellStart"/>
      <w:r w:rsidRPr="00312389">
        <w:rPr>
          <w:rFonts w:ascii="Arial" w:hAnsi="Arial" w:cs="Arial"/>
          <w:szCs w:val="24"/>
        </w:rPr>
        <w:t>Scheepers</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2014; Song </w:t>
      </w:r>
      <w:r w:rsidR="00B50415" w:rsidRPr="00B50415">
        <w:rPr>
          <w:rFonts w:ascii="Arial" w:hAnsi="Arial" w:cs="Arial"/>
          <w:i/>
          <w:iCs/>
          <w:szCs w:val="24"/>
        </w:rPr>
        <w:t>et al</w:t>
      </w:r>
      <w:r w:rsidRPr="00312389">
        <w:rPr>
          <w:rFonts w:ascii="Arial" w:hAnsi="Arial" w:cs="Arial"/>
          <w:szCs w:val="24"/>
        </w:rPr>
        <w:t xml:space="preserve">., 2018). The examination idea is exploratory instead of </w:t>
      </w:r>
      <w:r w:rsidRPr="00312389">
        <w:rPr>
          <w:rFonts w:ascii="Arial" w:hAnsi="Arial" w:cs="Arial"/>
          <w:color w:val="000000" w:themeColor="text1"/>
          <w:szCs w:val="24"/>
        </w:rPr>
        <w:t>using</w:t>
      </w:r>
      <w:r w:rsidRPr="00312389">
        <w:rPr>
          <w:rFonts w:ascii="Arial" w:hAnsi="Arial" w:cs="Arial"/>
          <w:color w:val="FF0000"/>
          <w:szCs w:val="24"/>
        </w:rPr>
        <w:t xml:space="preserve"> </w:t>
      </w:r>
      <w:r w:rsidRPr="00312389">
        <w:rPr>
          <w:rFonts w:ascii="Arial" w:hAnsi="Arial" w:cs="Arial"/>
          <w:szCs w:val="24"/>
        </w:rPr>
        <w:t>hypothesis testing. Apparently, this deviates from a natural science investigation where the study of natural phenomena prevails, using methods such as laboratory experiments and mathematical modelling. In some circumstances, researchers could use the quantitative research to employ survey techniques within social settings and in conjunction with qualitative methods (</w:t>
      </w:r>
      <w:proofErr w:type="spellStart"/>
      <w:r w:rsidRPr="00312389">
        <w:rPr>
          <w:rFonts w:ascii="Arial" w:hAnsi="Arial" w:cs="Arial"/>
          <w:color w:val="222222"/>
          <w:szCs w:val="24"/>
        </w:rPr>
        <w:t>Dwivedi</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2015; Myers, 1997).</w:t>
      </w:r>
      <w:r w:rsidR="003E11BD">
        <w:rPr>
          <w:rFonts w:ascii="Arial" w:hAnsi="Arial" w:cs="Arial"/>
          <w:szCs w:val="24"/>
        </w:rPr>
        <w:t xml:space="preserve"> </w:t>
      </w:r>
    </w:p>
    <w:p w14:paraId="28EA452F" w14:textId="697D4F84" w:rsidR="00B672DA" w:rsidRDefault="001A357D" w:rsidP="00B672DA">
      <w:pPr>
        <w:spacing w:line="480" w:lineRule="auto"/>
        <w:ind w:firstLine="576"/>
        <w:jc w:val="both"/>
        <w:rPr>
          <w:rFonts w:ascii="Arial" w:hAnsi="Arial" w:cs="Arial"/>
          <w:color w:val="000000"/>
          <w:szCs w:val="24"/>
        </w:rPr>
      </w:pPr>
      <w:r w:rsidRPr="001A357D">
        <w:rPr>
          <w:rFonts w:ascii="Arial" w:hAnsi="Arial" w:cs="Arial"/>
          <w:color w:val="000000"/>
          <w:szCs w:val="24"/>
        </w:rPr>
        <w:t xml:space="preserve">Indeed, the concept of ITG, and the current ideology, only emerged in the late nineties (De </w:t>
      </w:r>
      <w:proofErr w:type="spellStart"/>
      <w:r w:rsidRPr="001A357D">
        <w:rPr>
          <w:rFonts w:ascii="Arial" w:hAnsi="Arial" w:cs="Arial"/>
          <w:color w:val="000000"/>
          <w:szCs w:val="24"/>
        </w:rPr>
        <w:t>Haes</w:t>
      </w:r>
      <w:proofErr w:type="spellEnd"/>
      <w:r w:rsidRPr="001A357D">
        <w:rPr>
          <w:rFonts w:ascii="Arial" w:hAnsi="Arial" w:cs="Arial"/>
          <w:color w:val="000000"/>
          <w:szCs w:val="24"/>
        </w:rPr>
        <w:t xml:space="preserve"> and </w:t>
      </w:r>
      <w:proofErr w:type="spellStart"/>
      <w:r w:rsidRPr="001A357D">
        <w:rPr>
          <w:rFonts w:ascii="Arial" w:hAnsi="Arial" w:cs="Arial"/>
          <w:color w:val="000000"/>
          <w:szCs w:val="24"/>
        </w:rPr>
        <w:t>Grembergen</w:t>
      </w:r>
      <w:proofErr w:type="spellEnd"/>
      <w:r w:rsidRPr="001A357D">
        <w:rPr>
          <w:rFonts w:ascii="Arial" w:hAnsi="Arial" w:cs="Arial"/>
          <w:color w:val="000000"/>
          <w:szCs w:val="24"/>
        </w:rPr>
        <w:t xml:space="preserve">, 2009; Gregory </w:t>
      </w:r>
      <w:r w:rsidR="00B50415" w:rsidRPr="00B50415">
        <w:rPr>
          <w:rFonts w:ascii="Arial" w:hAnsi="Arial" w:cs="Arial"/>
          <w:i/>
          <w:iCs/>
          <w:color w:val="000000"/>
          <w:szCs w:val="24"/>
        </w:rPr>
        <w:t>et al</w:t>
      </w:r>
      <w:r w:rsidRPr="001A357D">
        <w:rPr>
          <w:rFonts w:ascii="Arial" w:hAnsi="Arial" w:cs="Arial"/>
          <w:color w:val="000000"/>
          <w:szCs w:val="24"/>
        </w:rPr>
        <w:t xml:space="preserve">., 2018; </w:t>
      </w:r>
      <w:proofErr w:type="spellStart"/>
      <w:r w:rsidRPr="001A357D">
        <w:rPr>
          <w:rFonts w:ascii="Arial" w:hAnsi="Arial" w:cs="Arial"/>
          <w:color w:val="000000"/>
          <w:szCs w:val="24"/>
        </w:rPr>
        <w:t>Asgarkhani</w:t>
      </w:r>
      <w:proofErr w:type="spellEnd"/>
      <w:r w:rsidRPr="001A357D">
        <w:rPr>
          <w:rFonts w:ascii="Arial" w:hAnsi="Arial" w:cs="Arial"/>
          <w:color w:val="000000"/>
          <w:szCs w:val="24"/>
        </w:rPr>
        <w:t xml:space="preserve"> </w:t>
      </w:r>
      <w:r w:rsidR="00B50415" w:rsidRPr="00B50415">
        <w:rPr>
          <w:rFonts w:ascii="Arial" w:hAnsi="Arial" w:cs="Arial"/>
          <w:i/>
          <w:iCs/>
          <w:color w:val="000000"/>
          <w:szCs w:val="24"/>
        </w:rPr>
        <w:t>et al</w:t>
      </w:r>
      <w:r w:rsidRPr="001A357D">
        <w:rPr>
          <w:rFonts w:ascii="Arial" w:hAnsi="Arial" w:cs="Arial"/>
          <w:color w:val="000000"/>
          <w:szCs w:val="24"/>
        </w:rPr>
        <w:t>., 2018); therefore, limited research material exists from which the researcher can build their research. The latter is not only true because it is a new research domain. Some researchers in ITG have been less successful than their colleagues in other disciplines in developing a cumulative research tradition (</w:t>
      </w:r>
      <w:proofErr w:type="spellStart"/>
      <w:r w:rsidRPr="001A357D">
        <w:rPr>
          <w:rFonts w:ascii="Arial" w:hAnsi="Arial" w:cs="Arial"/>
          <w:color w:val="000000"/>
          <w:szCs w:val="24"/>
        </w:rPr>
        <w:t>Benbasat</w:t>
      </w:r>
      <w:proofErr w:type="spellEnd"/>
      <w:r w:rsidRPr="001A357D">
        <w:rPr>
          <w:rFonts w:ascii="Arial" w:hAnsi="Arial" w:cs="Arial"/>
          <w:color w:val="000000"/>
          <w:szCs w:val="24"/>
        </w:rPr>
        <w:t xml:space="preserve"> and </w:t>
      </w:r>
      <w:proofErr w:type="spellStart"/>
      <w:r w:rsidRPr="001A357D">
        <w:rPr>
          <w:rFonts w:ascii="Arial" w:hAnsi="Arial" w:cs="Arial"/>
          <w:color w:val="000000"/>
          <w:szCs w:val="24"/>
        </w:rPr>
        <w:t>Zmud</w:t>
      </w:r>
      <w:proofErr w:type="spellEnd"/>
      <w:r w:rsidRPr="001A357D">
        <w:rPr>
          <w:rFonts w:ascii="Arial" w:hAnsi="Arial" w:cs="Arial"/>
          <w:color w:val="000000"/>
          <w:szCs w:val="24"/>
        </w:rPr>
        <w:t xml:space="preserve">, 1999; </w:t>
      </w:r>
      <w:proofErr w:type="spellStart"/>
      <w:r w:rsidRPr="001A357D">
        <w:rPr>
          <w:rFonts w:ascii="Arial" w:hAnsi="Arial" w:cs="Arial"/>
          <w:color w:val="000000"/>
          <w:szCs w:val="24"/>
        </w:rPr>
        <w:t>Puklavec</w:t>
      </w:r>
      <w:proofErr w:type="spellEnd"/>
      <w:r w:rsidRPr="001A357D">
        <w:rPr>
          <w:rFonts w:ascii="Arial" w:hAnsi="Arial" w:cs="Arial"/>
          <w:color w:val="000000"/>
          <w:szCs w:val="24"/>
        </w:rPr>
        <w:t xml:space="preserve">, Oliveira and </w:t>
      </w:r>
      <w:proofErr w:type="spellStart"/>
      <w:r w:rsidRPr="001A357D">
        <w:rPr>
          <w:rFonts w:ascii="Arial" w:hAnsi="Arial" w:cs="Arial"/>
          <w:color w:val="000000"/>
          <w:szCs w:val="24"/>
        </w:rPr>
        <w:t>Popovič</w:t>
      </w:r>
      <w:proofErr w:type="spellEnd"/>
      <w:r w:rsidRPr="001A357D">
        <w:rPr>
          <w:rFonts w:ascii="Arial" w:hAnsi="Arial" w:cs="Arial"/>
          <w:color w:val="000000"/>
          <w:szCs w:val="24"/>
        </w:rPr>
        <w:t xml:space="preserve">, 2018). Since </w:t>
      </w:r>
      <w:proofErr w:type="spellStart"/>
      <w:r w:rsidRPr="001A357D">
        <w:rPr>
          <w:rFonts w:ascii="Arial" w:hAnsi="Arial" w:cs="Arial"/>
          <w:color w:val="000000"/>
          <w:szCs w:val="24"/>
        </w:rPr>
        <w:t>Benbasat</w:t>
      </w:r>
      <w:proofErr w:type="spellEnd"/>
      <w:r w:rsidRPr="001A357D">
        <w:rPr>
          <w:rFonts w:ascii="Arial" w:hAnsi="Arial" w:cs="Arial"/>
          <w:color w:val="000000"/>
          <w:szCs w:val="24"/>
        </w:rPr>
        <w:t xml:space="preserve"> and </w:t>
      </w:r>
      <w:proofErr w:type="spellStart"/>
      <w:r w:rsidRPr="001A357D">
        <w:rPr>
          <w:rFonts w:ascii="Arial" w:hAnsi="Arial" w:cs="Arial"/>
          <w:color w:val="000000"/>
          <w:szCs w:val="24"/>
        </w:rPr>
        <w:t>Zmud</w:t>
      </w:r>
      <w:proofErr w:type="spellEnd"/>
      <w:r w:rsidRPr="001A357D">
        <w:rPr>
          <w:rFonts w:ascii="Arial" w:hAnsi="Arial" w:cs="Arial"/>
          <w:color w:val="000000"/>
          <w:szCs w:val="24"/>
        </w:rPr>
        <w:t xml:space="preserve"> work in the late nineties, the assertion significantly remains. Without such combined outcomes, the challenges remain certainly feasible if solid hypothetical models are oblique.</w:t>
      </w:r>
      <w:r w:rsidR="00B672DA">
        <w:rPr>
          <w:rFonts w:ascii="Arial" w:hAnsi="Arial" w:cs="Arial"/>
          <w:color w:val="000000"/>
          <w:szCs w:val="24"/>
        </w:rPr>
        <w:t xml:space="preserve"> </w:t>
      </w:r>
    </w:p>
    <w:p w14:paraId="570F83FD" w14:textId="77777777" w:rsidR="00B672DA" w:rsidRDefault="001A357D" w:rsidP="00B672DA">
      <w:pPr>
        <w:spacing w:line="480" w:lineRule="auto"/>
        <w:ind w:firstLine="576"/>
        <w:jc w:val="both"/>
        <w:rPr>
          <w:rFonts w:ascii="Arial" w:hAnsi="Arial" w:cs="Arial"/>
          <w:color w:val="000000"/>
          <w:szCs w:val="24"/>
        </w:rPr>
      </w:pPr>
      <w:r w:rsidRPr="001A357D">
        <w:rPr>
          <w:rFonts w:ascii="Arial" w:hAnsi="Arial" w:cs="Arial"/>
          <w:color w:val="000000"/>
          <w:szCs w:val="24"/>
        </w:rPr>
        <w:t xml:space="preserve">With exploration, the researcher will contribute to developing a basis for future research. Subsequently, this includes theorising scaling in ITG to determine the correlation between ITG and MSGS. With the recommendation, researchers in the </w:t>
      </w:r>
      <w:r w:rsidRPr="001A357D">
        <w:rPr>
          <w:rFonts w:ascii="Arial" w:hAnsi="Arial" w:cs="Arial"/>
          <w:color w:val="000000"/>
          <w:szCs w:val="24"/>
        </w:rPr>
        <w:lastRenderedPageBreak/>
        <w:t xml:space="preserve">future could build theoretical models and generate potential hypotheses for testing and validation. The choice for exploratory is not unprecedented. Researchers in the past published similar titles in a reputable peer-reviewed journal. Mahmood and Mann (1993) investigated the relationship between investments in IT and economic performance; see also </w:t>
      </w:r>
      <w:proofErr w:type="spellStart"/>
      <w:r w:rsidRPr="001A357D">
        <w:rPr>
          <w:rFonts w:ascii="Arial" w:hAnsi="Arial" w:cs="Arial"/>
          <w:color w:val="000000"/>
          <w:szCs w:val="24"/>
        </w:rPr>
        <w:t>Khallaf</w:t>
      </w:r>
      <w:proofErr w:type="spellEnd"/>
      <w:r w:rsidRPr="001A357D">
        <w:rPr>
          <w:rFonts w:ascii="Arial" w:hAnsi="Arial" w:cs="Arial"/>
          <w:color w:val="000000"/>
          <w:szCs w:val="24"/>
        </w:rPr>
        <w:t xml:space="preserve">, </w:t>
      </w:r>
      <w:proofErr w:type="spellStart"/>
      <w:r w:rsidRPr="001A357D">
        <w:rPr>
          <w:rFonts w:ascii="Arial" w:hAnsi="Arial" w:cs="Arial"/>
          <w:color w:val="000000"/>
          <w:szCs w:val="24"/>
        </w:rPr>
        <w:t>Omran</w:t>
      </w:r>
      <w:proofErr w:type="spellEnd"/>
      <w:r w:rsidRPr="001A357D">
        <w:rPr>
          <w:rFonts w:ascii="Arial" w:hAnsi="Arial" w:cs="Arial"/>
          <w:color w:val="000000"/>
          <w:szCs w:val="24"/>
        </w:rPr>
        <w:t xml:space="preserve"> and </w:t>
      </w:r>
      <w:proofErr w:type="spellStart"/>
      <w:r w:rsidRPr="001A357D">
        <w:rPr>
          <w:rFonts w:ascii="Arial" w:hAnsi="Arial" w:cs="Arial"/>
          <w:color w:val="000000"/>
          <w:szCs w:val="24"/>
        </w:rPr>
        <w:t>Zakaria</w:t>
      </w:r>
      <w:proofErr w:type="spellEnd"/>
      <w:r w:rsidRPr="001A357D">
        <w:rPr>
          <w:rFonts w:ascii="Arial" w:hAnsi="Arial" w:cs="Arial"/>
          <w:color w:val="000000"/>
          <w:szCs w:val="24"/>
        </w:rPr>
        <w:t>, 2017.</w:t>
      </w:r>
      <w:r w:rsidR="00B672DA">
        <w:rPr>
          <w:rFonts w:ascii="Arial" w:hAnsi="Arial" w:cs="Arial"/>
          <w:color w:val="000000"/>
          <w:szCs w:val="24"/>
        </w:rPr>
        <w:t xml:space="preserve"> </w:t>
      </w:r>
    </w:p>
    <w:p w14:paraId="0ADD512D" w14:textId="1B2801CB" w:rsidR="00F24D4E" w:rsidRDefault="001A357D" w:rsidP="00F24D4E">
      <w:pPr>
        <w:spacing w:line="480" w:lineRule="auto"/>
        <w:ind w:firstLine="576"/>
        <w:jc w:val="both"/>
        <w:rPr>
          <w:rFonts w:ascii="Arial" w:hAnsi="Arial" w:cs="Arial"/>
          <w:color w:val="000000"/>
          <w:szCs w:val="24"/>
        </w:rPr>
      </w:pPr>
      <w:r w:rsidRPr="001A357D">
        <w:rPr>
          <w:rFonts w:ascii="Arial" w:hAnsi="Arial" w:cs="Arial"/>
          <w:color w:val="000000"/>
          <w:szCs w:val="24"/>
        </w:rPr>
        <w:t xml:space="preserve">Similarly, De </w:t>
      </w:r>
      <w:proofErr w:type="spellStart"/>
      <w:r w:rsidRPr="001A357D">
        <w:rPr>
          <w:rFonts w:ascii="Arial" w:hAnsi="Arial" w:cs="Arial"/>
          <w:color w:val="000000"/>
          <w:szCs w:val="24"/>
        </w:rPr>
        <w:t>Haes</w:t>
      </w:r>
      <w:proofErr w:type="spellEnd"/>
      <w:r w:rsidRPr="001A357D">
        <w:rPr>
          <w:rFonts w:ascii="Arial" w:hAnsi="Arial" w:cs="Arial"/>
          <w:color w:val="000000"/>
          <w:szCs w:val="24"/>
        </w:rPr>
        <w:t xml:space="preserve"> and </w:t>
      </w:r>
      <w:proofErr w:type="spellStart"/>
      <w:r w:rsidRPr="001A357D">
        <w:rPr>
          <w:rFonts w:ascii="Arial" w:hAnsi="Arial" w:cs="Arial"/>
          <w:color w:val="000000"/>
          <w:szCs w:val="24"/>
        </w:rPr>
        <w:t>Grembergen</w:t>
      </w:r>
      <w:proofErr w:type="spellEnd"/>
      <w:r w:rsidRPr="001A357D">
        <w:rPr>
          <w:rFonts w:ascii="Arial" w:hAnsi="Arial" w:cs="Arial"/>
          <w:color w:val="000000"/>
          <w:szCs w:val="24"/>
        </w:rPr>
        <w:t xml:space="preserve"> (2008) analysed the relationship between ITG and business/IT alignment maturity. Recently, </w:t>
      </w:r>
      <w:proofErr w:type="spellStart"/>
      <w:r w:rsidRPr="001A357D">
        <w:rPr>
          <w:rFonts w:ascii="Arial" w:hAnsi="Arial" w:cs="Arial"/>
          <w:color w:val="000000"/>
          <w:szCs w:val="24"/>
        </w:rPr>
        <w:t>Laurenza</w:t>
      </w:r>
      <w:proofErr w:type="spellEnd"/>
      <w:r w:rsidRPr="001A357D">
        <w:rPr>
          <w:rFonts w:ascii="Arial" w:hAnsi="Arial" w:cs="Arial"/>
          <w:color w:val="000000"/>
          <w:szCs w:val="24"/>
        </w:rPr>
        <w:t xml:space="preserve"> </w:t>
      </w:r>
      <w:r w:rsidR="00B50415" w:rsidRPr="00B50415">
        <w:rPr>
          <w:rFonts w:ascii="Arial" w:hAnsi="Arial" w:cs="Arial"/>
          <w:i/>
          <w:iCs/>
          <w:color w:val="000000"/>
          <w:szCs w:val="24"/>
        </w:rPr>
        <w:t>et al</w:t>
      </w:r>
      <w:r w:rsidRPr="001A357D">
        <w:rPr>
          <w:rFonts w:ascii="Arial" w:hAnsi="Arial" w:cs="Arial"/>
          <w:color w:val="000000"/>
          <w:szCs w:val="24"/>
        </w:rPr>
        <w:t>. (2018) published about the effect of digital technologies adoption in the healthcare industry: a case-based analysis. The research domain suffers limited academic material availability. Currently, high-level scholar and practitioner agenda in many organisations in the research domain of ITG and MSGS are trending. Theoretical models were rarely available; the option for exploratory research exists to build a basis for future study.</w:t>
      </w:r>
    </w:p>
    <w:p w14:paraId="759A9BA6" w14:textId="7B489F53" w:rsidR="00F24D4E" w:rsidRDefault="002A44C0" w:rsidP="00F24D4E">
      <w:pPr>
        <w:spacing w:line="480" w:lineRule="auto"/>
        <w:ind w:firstLine="576"/>
        <w:jc w:val="both"/>
        <w:rPr>
          <w:rFonts w:ascii="Arial" w:hAnsi="Arial" w:cs="Arial"/>
          <w:szCs w:val="24"/>
        </w:rPr>
      </w:pPr>
      <w:r w:rsidRPr="001A357D">
        <w:rPr>
          <w:rFonts w:ascii="Arial" w:hAnsi="Arial" w:cs="Arial"/>
          <w:szCs w:val="24"/>
        </w:rPr>
        <w:t xml:space="preserve">Exploratory research often builds on secondary research and or a case study. With methodologies, the contextual analysis gives a stage to comprehend the adoption of inductive approach - top to bottom. Further, in its unique setting and situation, the choice of SME Aviation in this study is more of a strategy than a method (Meyer, 2015; Bulmer, 2017). Understanding the criticisms of this approach (e.g. </w:t>
      </w:r>
      <w:proofErr w:type="spellStart"/>
      <w:r w:rsidRPr="001A357D">
        <w:rPr>
          <w:rFonts w:ascii="Arial" w:hAnsi="Arial" w:cs="Arial"/>
          <w:szCs w:val="24"/>
        </w:rPr>
        <w:t>Alhaj</w:t>
      </w:r>
      <w:proofErr w:type="spellEnd"/>
      <w:r w:rsidRPr="001A357D">
        <w:rPr>
          <w:rFonts w:ascii="Arial" w:hAnsi="Arial" w:cs="Arial"/>
          <w:szCs w:val="24"/>
        </w:rPr>
        <w:t xml:space="preserve">, 2006; Bell, 2005; </w:t>
      </w:r>
      <w:r w:rsidRPr="001A357D">
        <w:rPr>
          <w:rFonts w:ascii="Arial" w:hAnsi="Arial" w:cs="Arial"/>
          <w:color w:val="222222"/>
          <w:szCs w:val="24"/>
        </w:rPr>
        <w:t xml:space="preserve">Edelman, 2016; </w:t>
      </w:r>
      <w:proofErr w:type="spellStart"/>
      <w:r w:rsidRPr="001A357D">
        <w:rPr>
          <w:rFonts w:ascii="Arial" w:hAnsi="Arial" w:cs="Arial"/>
          <w:szCs w:val="24"/>
        </w:rPr>
        <w:t>Howlett</w:t>
      </w:r>
      <w:proofErr w:type="spellEnd"/>
      <w:r w:rsidRPr="001A357D">
        <w:rPr>
          <w:rFonts w:ascii="Arial" w:hAnsi="Arial" w:cs="Arial"/>
          <w:szCs w:val="24"/>
        </w:rPr>
        <w:t xml:space="preserve">, 2018; Thompson and </w:t>
      </w:r>
      <w:proofErr w:type="spellStart"/>
      <w:r w:rsidRPr="001A357D">
        <w:rPr>
          <w:rFonts w:ascii="Arial" w:hAnsi="Arial" w:cs="Arial"/>
          <w:szCs w:val="24"/>
        </w:rPr>
        <w:t>Nesci</w:t>
      </w:r>
      <w:proofErr w:type="spellEnd"/>
      <w:r w:rsidRPr="001A357D">
        <w:rPr>
          <w:rFonts w:ascii="Arial" w:hAnsi="Arial" w:cs="Arial"/>
          <w:szCs w:val="24"/>
        </w:rPr>
        <w:t>, 2016), the challenges remain with making generalisations considering just a case study (</w:t>
      </w:r>
      <w:r w:rsidRPr="001A357D">
        <w:rPr>
          <w:rFonts w:ascii="Arial" w:hAnsi="Arial" w:cs="Arial"/>
          <w:color w:val="222222"/>
          <w:szCs w:val="24"/>
        </w:rPr>
        <w:t xml:space="preserve">Edelman, 2016; </w:t>
      </w:r>
      <w:proofErr w:type="spellStart"/>
      <w:r w:rsidRPr="001A357D">
        <w:rPr>
          <w:rFonts w:ascii="Arial" w:hAnsi="Arial" w:cs="Arial"/>
          <w:szCs w:val="24"/>
        </w:rPr>
        <w:t>Scoones</w:t>
      </w:r>
      <w:proofErr w:type="spellEnd"/>
      <w:r w:rsidRPr="001A357D">
        <w:rPr>
          <w:rFonts w:ascii="Arial" w:hAnsi="Arial" w:cs="Arial"/>
          <w:szCs w:val="24"/>
        </w:rPr>
        <w:t xml:space="preserve"> </w:t>
      </w:r>
      <w:r w:rsidR="00B50415" w:rsidRPr="00B50415">
        <w:rPr>
          <w:rFonts w:ascii="Arial" w:hAnsi="Arial" w:cs="Arial"/>
          <w:i/>
          <w:iCs/>
          <w:szCs w:val="24"/>
        </w:rPr>
        <w:t>et al</w:t>
      </w:r>
      <w:r w:rsidRPr="001A357D">
        <w:rPr>
          <w:rFonts w:ascii="Arial" w:hAnsi="Arial" w:cs="Arial"/>
          <w:szCs w:val="24"/>
        </w:rPr>
        <w:t>., 2018).</w:t>
      </w:r>
      <w:r w:rsidR="00F24D4E">
        <w:rPr>
          <w:rFonts w:ascii="Arial" w:hAnsi="Arial" w:cs="Arial"/>
          <w:szCs w:val="24"/>
        </w:rPr>
        <w:t xml:space="preserve"> </w:t>
      </w:r>
    </w:p>
    <w:p w14:paraId="3860FE68" w14:textId="77777777" w:rsidR="00F24D4E" w:rsidRDefault="00F81E52" w:rsidP="00F24D4E">
      <w:pPr>
        <w:spacing w:line="480" w:lineRule="auto"/>
        <w:ind w:firstLine="576"/>
        <w:jc w:val="both"/>
        <w:rPr>
          <w:rFonts w:ascii="Arial" w:hAnsi="Arial" w:cs="Arial"/>
          <w:szCs w:val="24"/>
        </w:rPr>
      </w:pPr>
      <w:r w:rsidRPr="00F32AF4">
        <w:rPr>
          <w:rFonts w:ascii="Arial" w:hAnsi="Arial" w:cs="Arial"/>
          <w:color w:val="000000"/>
          <w:szCs w:val="24"/>
        </w:rPr>
        <w:t xml:space="preserve">Nonetheless, </w:t>
      </w:r>
      <w:proofErr w:type="spellStart"/>
      <w:r w:rsidRPr="00F32AF4">
        <w:rPr>
          <w:rFonts w:ascii="Arial" w:hAnsi="Arial" w:cs="Arial"/>
          <w:color w:val="000000"/>
          <w:szCs w:val="24"/>
        </w:rPr>
        <w:t>Alkhoraif</w:t>
      </w:r>
      <w:proofErr w:type="spellEnd"/>
      <w:r w:rsidRPr="00F32AF4">
        <w:rPr>
          <w:rFonts w:ascii="Arial" w:hAnsi="Arial" w:cs="Arial"/>
          <w:color w:val="000000"/>
          <w:szCs w:val="24"/>
        </w:rPr>
        <w:t xml:space="preserve"> (2018) asserted that there had not been extensive research conducted in SMEs based on the espouse of lean implementation (LI) or scaling technique to achieve more. </w:t>
      </w:r>
      <w:proofErr w:type="spellStart"/>
      <w:r w:rsidRPr="00F32AF4">
        <w:rPr>
          <w:rFonts w:ascii="Arial" w:hAnsi="Arial" w:cs="Arial"/>
          <w:color w:val="000000"/>
          <w:szCs w:val="24"/>
        </w:rPr>
        <w:t>Alkhoraif’s</w:t>
      </w:r>
      <w:proofErr w:type="spellEnd"/>
      <w:r w:rsidRPr="00F32AF4">
        <w:rPr>
          <w:rFonts w:ascii="Arial" w:hAnsi="Arial" w:cs="Arial"/>
          <w:color w:val="000000"/>
          <w:szCs w:val="24"/>
        </w:rPr>
        <w:t xml:space="preserve"> review of available literature attempts to bridge this gap but mainly applicable in operation research approach. Cunha and </w:t>
      </w:r>
      <w:r w:rsidRPr="00F32AF4">
        <w:rPr>
          <w:rFonts w:ascii="Arial" w:hAnsi="Arial" w:cs="Arial"/>
          <w:color w:val="000000"/>
          <w:szCs w:val="24"/>
        </w:rPr>
        <w:lastRenderedPageBreak/>
        <w:t>Alves (2014) accentuated a similar approach in mechanical engineering and quality management to support policy decision-makers. Is the same method available to cyber policy researchers or analysts? Are decision-makers in SMEs with a perspective of identifying the main challenges to cyber policymaking lean on MSGS for bridging the gap that exists?</w:t>
      </w:r>
      <w:r w:rsidR="00F64619" w:rsidRPr="00F32AF4">
        <w:rPr>
          <w:rFonts w:ascii="Arial" w:hAnsi="Arial" w:cs="Arial"/>
          <w:color w:val="000000"/>
          <w:szCs w:val="24"/>
        </w:rPr>
        <w:t xml:space="preserve"> </w:t>
      </w:r>
      <w:r w:rsidRPr="00F32AF4">
        <w:rPr>
          <w:rFonts w:ascii="Arial" w:hAnsi="Arial" w:cs="Arial"/>
          <w:color w:val="000000"/>
          <w:szCs w:val="24"/>
        </w:rPr>
        <w:t xml:space="preserve">With the available ITG frameworks, </w:t>
      </w:r>
      <w:r w:rsidR="00B22661" w:rsidRPr="00F32AF4">
        <w:rPr>
          <w:rFonts w:ascii="Arial" w:hAnsi="Arial" w:cs="Arial"/>
          <w:color w:val="000000"/>
          <w:szCs w:val="24"/>
        </w:rPr>
        <w:t xml:space="preserve">variants ought </w:t>
      </w:r>
      <w:r w:rsidR="00F64619" w:rsidRPr="00F32AF4">
        <w:rPr>
          <w:rFonts w:ascii="Arial" w:hAnsi="Arial" w:cs="Arial"/>
          <w:color w:val="000000"/>
          <w:szCs w:val="24"/>
        </w:rPr>
        <w:t>to be accessible as</w:t>
      </w:r>
      <w:r w:rsidRPr="00F32AF4">
        <w:rPr>
          <w:rFonts w:ascii="Arial" w:hAnsi="Arial" w:cs="Arial"/>
          <w:color w:val="000000"/>
          <w:szCs w:val="24"/>
        </w:rPr>
        <w:t xml:space="preserve"> the best fit to espouse by SME Aviation</w:t>
      </w:r>
      <w:r w:rsidR="00F32AF4" w:rsidRPr="00F32AF4">
        <w:rPr>
          <w:rFonts w:ascii="Arial" w:hAnsi="Arial" w:cs="Arial"/>
          <w:szCs w:val="24"/>
        </w:rPr>
        <w:t>.</w:t>
      </w:r>
    </w:p>
    <w:p w14:paraId="51C0FDDA" w14:textId="47E8871E" w:rsidR="002A44C0" w:rsidRPr="00312389" w:rsidRDefault="002A44C0" w:rsidP="00F24D4E">
      <w:pPr>
        <w:spacing w:line="480" w:lineRule="auto"/>
        <w:ind w:firstLine="576"/>
        <w:jc w:val="both"/>
        <w:rPr>
          <w:rFonts w:ascii="Arial" w:hAnsi="Arial" w:cs="Arial"/>
          <w:szCs w:val="24"/>
        </w:rPr>
      </w:pPr>
      <w:r w:rsidRPr="00F32AF4">
        <w:rPr>
          <w:rFonts w:ascii="Arial" w:hAnsi="Arial" w:cs="Arial"/>
          <w:szCs w:val="24"/>
        </w:rPr>
        <w:t xml:space="preserve">The perspective on cyber policy could provide possible exploration on genuine </w:t>
      </w:r>
      <w:proofErr w:type="spellStart"/>
      <w:r w:rsidRPr="00F32AF4">
        <w:rPr>
          <w:rFonts w:ascii="Arial" w:hAnsi="Arial" w:cs="Arial"/>
          <w:szCs w:val="24"/>
        </w:rPr>
        <w:t>multistakeholder</w:t>
      </w:r>
      <w:proofErr w:type="spellEnd"/>
      <w:r w:rsidRPr="00F32AF4">
        <w:rPr>
          <w:rFonts w:ascii="Arial" w:hAnsi="Arial" w:cs="Arial"/>
          <w:szCs w:val="24"/>
        </w:rPr>
        <w:t xml:space="preserve"> commitment amid identified challenges to convey ITG ventures (Mysore, </w:t>
      </w:r>
      <w:proofErr w:type="spellStart"/>
      <w:r w:rsidRPr="00F32AF4">
        <w:rPr>
          <w:rFonts w:ascii="Arial" w:hAnsi="Arial" w:cs="Arial"/>
          <w:szCs w:val="24"/>
        </w:rPr>
        <w:t>Elmualim</w:t>
      </w:r>
      <w:proofErr w:type="spellEnd"/>
      <w:r w:rsidRPr="00F32AF4">
        <w:rPr>
          <w:rFonts w:ascii="Arial" w:hAnsi="Arial" w:cs="Arial"/>
          <w:szCs w:val="24"/>
        </w:rPr>
        <w:t xml:space="preserve"> and </w:t>
      </w:r>
      <w:proofErr w:type="spellStart"/>
      <w:r w:rsidRPr="00F32AF4">
        <w:rPr>
          <w:rFonts w:ascii="Arial" w:hAnsi="Arial" w:cs="Arial"/>
          <w:szCs w:val="24"/>
        </w:rPr>
        <w:t>Kirytopoulos</w:t>
      </w:r>
      <w:proofErr w:type="spellEnd"/>
      <w:r w:rsidRPr="00F32AF4">
        <w:rPr>
          <w:rFonts w:ascii="Arial" w:hAnsi="Arial" w:cs="Arial"/>
          <w:szCs w:val="24"/>
        </w:rPr>
        <w:t>, 2019). The approach could interest cyber policy decision-makers, analysts and educators (</w:t>
      </w:r>
      <w:proofErr w:type="spellStart"/>
      <w:r w:rsidRPr="00F32AF4">
        <w:rPr>
          <w:rFonts w:ascii="Arial" w:hAnsi="Arial" w:cs="Arial"/>
          <w:szCs w:val="24"/>
        </w:rPr>
        <w:t>Flyvbjerg</w:t>
      </w:r>
      <w:proofErr w:type="spellEnd"/>
      <w:r w:rsidRPr="00F32AF4">
        <w:rPr>
          <w:rFonts w:ascii="Arial" w:hAnsi="Arial" w:cs="Arial"/>
          <w:szCs w:val="24"/>
        </w:rPr>
        <w:t xml:space="preserve">, 2016; </w:t>
      </w:r>
      <w:proofErr w:type="spellStart"/>
      <w:r w:rsidRPr="00F32AF4">
        <w:rPr>
          <w:rFonts w:ascii="Arial" w:hAnsi="Arial" w:cs="Arial"/>
          <w:szCs w:val="24"/>
        </w:rPr>
        <w:t>Banham</w:t>
      </w:r>
      <w:proofErr w:type="spellEnd"/>
      <w:r w:rsidRPr="00F32AF4">
        <w:rPr>
          <w:rFonts w:ascii="Arial" w:hAnsi="Arial" w:cs="Arial"/>
          <w:szCs w:val="24"/>
        </w:rPr>
        <w:t xml:space="preserve"> and He, 2010; Mysore </w:t>
      </w:r>
      <w:r w:rsidR="00B50415" w:rsidRPr="00B50415">
        <w:rPr>
          <w:rFonts w:ascii="Arial" w:hAnsi="Arial" w:cs="Arial"/>
          <w:i/>
          <w:iCs/>
          <w:szCs w:val="24"/>
        </w:rPr>
        <w:t>et al</w:t>
      </w:r>
      <w:r w:rsidRPr="00F32AF4">
        <w:rPr>
          <w:rFonts w:ascii="Arial" w:hAnsi="Arial" w:cs="Arial"/>
          <w:szCs w:val="24"/>
        </w:rPr>
        <w:t xml:space="preserve">., 2019).  Additionally, planning helps in safeguarding and grasp the wholeness and solidarity of the case (Pascal </w:t>
      </w:r>
      <w:r w:rsidR="00B50415" w:rsidRPr="00B50415">
        <w:rPr>
          <w:rFonts w:ascii="Arial" w:hAnsi="Arial" w:cs="Arial"/>
          <w:i/>
          <w:iCs/>
          <w:szCs w:val="24"/>
        </w:rPr>
        <w:t>et al</w:t>
      </w:r>
      <w:r w:rsidRPr="00F32AF4">
        <w:rPr>
          <w:rFonts w:ascii="Arial" w:hAnsi="Arial" w:cs="Arial"/>
          <w:szCs w:val="24"/>
        </w:rPr>
        <w:t>. 2018). The research method and strategy concurrently will afford the pathway to describe the phases under the critical findings section in meeting the objective 6 that centres on the appropriate formulation of recommendations.</w:t>
      </w:r>
    </w:p>
    <w:p w14:paraId="2DDED0DA" w14:textId="3EFDCF8D" w:rsidR="002E234C" w:rsidRPr="00312389" w:rsidRDefault="009B31C6" w:rsidP="00D40EBB">
      <w:pPr>
        <w:pStyle w:val="Heading2"/>
        <w:spacing w:line="480" w:lineRule="auto"/>
        <w:rPr>
          <w:rFonts w:ascii="Arial" w:hAnsi="Arial" w:cs="Arial"/>
        </w:rPr>
      </w:pPr>
      <w:bookmarkStart w:id="32" w:name="_Toc72189384"/>
      <w:r w:rsidRPr="00312389">
        <w:rPr>
          <w:rFonts w:ascii="Arial" w:hAnsi="Arial" w:cs="Arial"/>
        </w:rPr>
        <w:t>Data Collection</w:t>
      </w:r>
      <w:bookmarkEnd w:id="32"/>
    </w:p>
    <w:p w14:paraId="791FC30E" w14:textId="74032CDC" w:rsidR="00F24D4E" w:rsidRDefault="009B31C6" w:rsidP="00F24D4E">
      <w:pPr>
        <w:spacing w:line="480" w:lineRule="auto"/>
        <w:ind w:firstLine="576"/>
        <w:jc w:val="both"/>
        <w:rPr>
          <w:rFonts w:ascii="Arial" w:hAnsi="Arial" w:cs="Arial"/>
          <w:szCs w:val="24"/>
        </w:rPr>
      </w:pPr>
      <w:r w:rsidRPr="00312389">
        <w:rPr>
          <w:rFonts w:ascii="Arial" w:hAnsi="Arial" w:cs="Arial"/>
          <w:szCs w:val="24"/>
        </w:rPr>
        <w:t xml:space="preserve">Adopting a case study strategy is generally considered to be qualitative research. Organisations such as universities, national and regional government and statistical institutions also collect, release and disseminate secondary data (Johnston, 2017; </w:t>
      </w:r>
      <w:proofErr w:type="spellStart"/>
      <w:r w:rsidRPr="00312389">
        <w:rPr>
          <w:rFonts w:ascii="Arial" w:hAnsi="Arial" w:cs="Arial"/>
          <w:szCs w:val="24"/>
        </w:rPr>
        <w:t>Hox</w:t>
      </w:r>
      <w:proofErr w:type="spellEnd"/>
      <w:r w:rsidRPr="00312389">
        <w:rPr>
          <w:rFonts w:ascii="Arial" w:hAnsi="Arial" w:cs="Arial"/>
          <w:szCs w:val="24"/>
        </w:rPr>
        <w:t xml:space="preserve"> and </w:t>
      </w:r>
      <w:proofErr w:type="spellStart"/>
      <w:r w:rsidRPr="00312389">
        <w:rPr>
          <w:rFonts w:ascii="Arial" w:hAnsi="Arial" w:cs="Arial"/>
          <w:szCs w:val="24"/>
        </w:rPr>
        <w:t>Boeije</w:t>
      </w:r>
      <w:proofErr w:type="spellEnd"/>
      <w:r w:rsidRPr="00312389">
        <w:rPr>
          <w:rFonts w:ascii="Arial" w:hAnsi="Arial" w:cs="Arial"/>
          <w:szCs w:val="24"/>
        </w:rPr>
        <w:t xml:space="preserve">, 2005; </w:t>
      </w:r>
      <w:proofErr w:type="spellStart"/>
      <w:r w:rsidRPr="00312389">
        <w:rPr>
          <w:rFonts w:ascii="Arial" w:hAnsi="Arial" w:cs="Arial"/>
          <w:szCs w:val="24"/>
        </w:rPr>
        <w:t>Walliman</w:t>
      </w:r>
      <w:proofErr w:type="spellEnd"/>
      <w:r w:rsidRPr="00312389">
        <w:rPr>
          <w:rFonts w:ascii="Arial" w:hAnsi="Arial" w:cs="Arial"/>
          <w:szCs w:val="24"/>
        </w:rPr>
        <w:t xml:space="preserve">, 2017). </w:t>
      </w:r>
      <w:proofErr w:type="spellStart"/>
      <w:r w:rsidRPr="00312389">
        <w:rPr>
          <w:rFonts w:ascii="Arial" w:hAnsi="Arial" w:cs="Arial"/>
          <w:szCs w:val="24"/>
        </w:rPr>
        <w:t>Walliman</w:t>
      </w:r>
      <w:proofErr w:type="spellEnd"/>
      <w:r w:rsidRPr="00312389">
        <w:rPr>
          <w:rFonts w:ascii="Arial" w:hAnsi="Arial" w:cs="Arial"/>
          <w:szCs w:val="24"/>
        </w:rPr>
        <w:t xml:space="preserve"> (2017) states that researchers are embracing a qualitative view usually concerned to comprehend people's impression of the world. The focus leans towards seeking insights rather than the statistical interpretation of the context. Objectives 3 and 5 of this study centres on such attainment. To understand and find explanations to such scenarios </w:t>
      </w:r>
      <w:r w:rsidRPr="00312389">
        <w:rPr>
          <w:rFonts w:ascii="Arial" w:hAnsi="Arial" w:cs="Arial"/>
          <w:szCs w:val="24"/>
        </w:rPr>
        <w:lastRenderedPageBreak/>
        <w:t>require an in-depth insight much more than merely the collection of facts and figures (</w:t>
      </w:r>
      <w:proofErr w:type="spellStart"/>
      <w:r w:rsidRPr="00312389">
        <w:rPr>
          <w:rFonts w:ascii="Arial" w:hAnsi="Arial" w:cs="Arial"/>
          <w:szCs w:val="24"/>
        </w:rPr>
        <w:t>Biggam</w:t>
      </w:r>
      <w:proofErr w:type="spellEnd"/>
      <w:r w:rsidRPr="00312389">
        <w:rPr>
          <w:rFonts w:ascii="Arial" w:hAnsi="Arial" w:cs="Arial"/>
          <w:szCs w:val="24"/>
        </w:rPr>
        <w:t>, 2015; Bloomberg and Volpe, 2018). In such a process, an attempt at collecting quantitative data will suffice in the transcription. For examples, the number of SMEs decision-makers in Aviation, the number of ITG professionals involved, type and amounts of Cybersecurity awareness programme involved, number of ITG models involved, number of data breaches an organisation might have suffered, and so on.</w:t>
      </w:r>
      <w:r w:rsidR="0006337B">
        <w:rPr>
          <w:rFonts w:ascii="Arial" w:hAnsi="Arial" w:cs="Arial"/>
          <w:szCs w:val="24"/>
        </w:rPr>
        <w:t xml:space="preserve"> </w:t>
      </w:r>
    </w:p>
    <w:p w14:paraId="223437C4" w14:textId="77777777" w:rsidR="00155717" w:rsidRDefault="00F370C6" w:rsidP="00F24D4E">
      <w:pPr>
        <w:spacing w:line="480" w:lineRule="auto"/>
        <w:ind w:firstLine="576"/>
        <w:jc w:val="both"/>
        <w:rPr>
          <w:color w:val="000000"/>
          <w:sz w:val="27"/>
          <w:szCs w:val="27"/>
        </w:rPr>
      </w:pPr>
      <w:r>
        <w:rPr>
          <w:color w:val="000000"/>
          <w:sz w:val="27"/>
          <w:szCs w:val="27"/>
        </w:rPr>
        <w:t>It is essential to discuss t</w:t>
      </w:r>
      <w:r w:rsidR="0006337B">
        <w:rPr>
          <w:color w:val="000000"/>
          <w:sz w:val="27"/>
          <w:szCs w:val="27"/>
        </w:rPr>
        <w:t>he subject of the convenience of collection of the secondary data for this study. The method leans on the possibility to use the data collected in earlier research — earlier researchers who investigated works that differed in objectives (</w:t>
      </w:r>
      <w:proofErr w:type="spellStart"/>
      <w:r w:rsidR="0006337B">
        <w:rPr>
          <w:color w:val="000000"/>
          <w:sz w:val="27"/>
          <w:szCs w:val="27"/>
        </w:rPr>
        <w:t>Hox</w:t>
      </w:r>
      <w:proofErr w:type="spellEnd"/>
      <w:r w:rsidR="0006337B">
        <w:rPr>
          <w:color w:val="000000"/>
          <w:sz w:val="27"/>
          <w:szCs w:val="27"/>
        </w:rPr>
        <w:t xml:space="preserve"> and </w:t>
      </w:r>
      <w:proofErr w:type="spellStart"/>
      <w:r w:rsidR="0006337B">
        <w:rPr>
          <w:color w:val="000000"/>
          <w:sz w:val="27"/>
          <w:szCs w:val="27"/>
        </w:rPr>
        <w:t>Boeije</w:t>
      </w:r>
      <w:proofErr w:type="spellEnd"/>
      <w:r w:rsidR="0006337B">
        <w:rPr>
          <w:color w:val="000000"/>
          <w:sz w:val="27"/>
          <w:szCs w:val="27"/>
        </w:rPr>
        <w:t xml:space="preserve">, 2005). The accentuation remains on the finding of useful secondary data with the appropriate search strategy. </w:t>
      </w:r>
      <w:r w:rsidR="004B53E7">
        <w:rPr>
          <w:color w:val="000000"/>
          <w:sz w:val="27"/>
          <w:szCs w:val="27"/>
        </w:rPr>
        <w:t xml:space="preserve">The researcher found this </w:t>
      </w:r>
      <w:r w:rsidR="00155717">
        <w:rPr>
          <w:color w:val="000000"/>
          <w:sz w:val="27"/>
          <w:szCs w:val="27"/>
        </w:rPr>
        <w:t xml:space="preserve">process </w:t>
      </w:r>
      <w:r w:rsidR="0006337B">
        <w:rPr>
          <w:color w:val="000000"/>
          <w:sz w:val="27"/>
          <w:szCs w:val="27"/>
        </w:rPr>
        <w:t>convenient because the researcher subscribed to futurelearn.com and had full access to secondary data. The data on the platform is notably achieved and made available to researchers. As the information on the platform is vast and internet-driven, sources look disorganised. For practical usage, the researcher formulated a search strategy with appropriate keywords derived from objective 3 and 5 and the related questions.</w:t>
      </w:r>
      <w:r w:rsidR="00155717">
        <w:rPr>
          <w:color w:val="000000"/>
          <w:sz w:val="27"/>
          <w:szCs w:val="27"/>
        </w:rPr>
        <w:t xml:space="preserve"> </w:t>
      </w:r>
    </w:p>
    <w:p w14:paraId="4CD58CF1" w14:textId="77777777" w:rsidR="00155717" w:rsidRDefault="009B31C6" w:rsidP="00155717">
      <w:pPr>
        <w:spacing w:line="480" w:lineRule="auto"/>
        <w:ind w:firstLine="576"/>
        <w:jc w:val="both"/>
        <w:rPr>
          <w:rFonts w:ascii="Arial" w:hAnsi="Arial" w:cs="Arial"/>
          <w:szCs w:val="24"/>
        </w:rPr>
      </w:pPr>
      <w:r w:rsidRPr="00312389">
        <w:rPr>
          <w:rFonts w:ascii="Arial" w:hAnsi="Arial" w:cs="Arial"/>
          <w:szCs w:val="24"/>
        </w:rPr>
        <w:t xml:space="preserve">However, such a strategy comes with featured problems. </w:t>
      </w:r>
      <w:proofErr w:type="spellStart"/>
      <w:r w:rsidRPr="00312389">
        <w:rPr>
          <w:rFonts w:ascii="Arial" w:hAnsi="Arial" w:cs="Arial"/>
          <w:szCs w:val="24"/>
        </w:rPr>
        <w:t>Hox</w:t>
      </w:r>
      <w:proofErr w:type="spellEnd"/>
      <w:r w:rsidRPr="00312389">
        <w:rPr>
          <w:rFonts w:ascii="Arial" w:hAnsi="Arial" w:cs="Arial"/>
          <w:szCs w:val="24"/>
        </w:rPr>
        <w:t xml:space="preserve"> and </w:t>
      </w:r>
      <w:proofErr w:type="spellStart"/>
      <w:r w:rsidRPr="00312389">
        <w:rPr>
          <w:rFonts w:ascii="Arial" w:hAnsi="Arial" w:cs="Arial"/>
          <w:szCs w:val="24"/>
        </w:rPr>
        <w:t>Boeije</w:t>
      </w:r>
      <w:proofErr w:type="spellEnd"/>
      <w:r w:rsidRPr="00312389">
        <w:rPr>
          <w:rFonts w:ascii="Arial" w:hAnsi="Arial" w:cs="Arial"/>
          <w:szCs w:val="24"/>
        </w:rPr>
        <w:t xml:space="preserve"> (2005) assert that to use secondary data, the challenges of the location, retrieval and evaluation of the secondary data are characteristically problematic for researchers. Importantly, the review of how well the data meet the requirements of </w:t>
      </w:r>
      <w:r w:rsidRPr="00312389">
        <w:rPr>
          <w:rFonts w:ascii="Arial" w:hAnsi="Arial" w:cs="Arial"/>
          <w:szCs w:val="24"/>
        </w:rPr>
        <w:lastRenderedPageBreak/>
        <w:t>the current research and the methodological criteria of sound research practice. The study of relevant literature established that implementation of ITG models is an area of increasing interest. Particularly to the broader community of UK’s SME Aviation’s cyber policy decision-makers. Undoubtedly, the outcome of this investigation will bear some significance with those pondering comparable decision-making issues.</w:t>
      </w:r>
    </w:p>
    <w:p w14:paraId="348E3843" w14:textId="77777777" w:rsidR="00155717" w:rsidRDefault="009B31C6" w:rsidP="00155717">
      <w:pPr>
        <w:spacing w:line="480" w:lineRule="auto"/>
        <w:ind w:firstLine="576"/>
        <w:jc w:val="both"/>
        <w:rPr>
          <w:rFonts w:ascii="Arial" w:hAnsi="Arial" w:cs="Arial"/>
          <w:szCs w:val="24"/>
        </w:rPr>
      </w:pPr>
      <w:r w:rsidRPr="00312389">
        <w:rPr>
          <w:rFonts w:ascii="Arial" w:hAnsi="Arial" w:cs="Arial"/>
          <w:szCs w:val="24"/>
        </w:rPr>
        <w:t>Given that the objectives 3 and 5 of this research centres on gaining understanding of the relationship that might exist between ITG and MSGS, and that  UK’s SME Aviation decision-makers have discovered the needs for implementable cybersecurity policy as a resilience approach to cybersecurity, then selecting the UK’s SME Aviation presents an exemplary opportunity in the discussion of issues that surround the vulnerability of ITG models and decision-makers adoption of an implementable cyber policy in light of MSGS. In a way, such selection is not a pretence that UK’s SME Aviation is representative of other industrial sections but as a theoretical framework that what could happen in its context, or will happen, elsewhere as determinants of cyber readiness (</w:t>
      </w:r>
      <w:proofErr w:type="spellStart"/>
      <w:r w:rsidRPr="00312389">
        <w:rPr>
          <w:rFonts w:ascii="Arial" w:hAnsi="Arial" w:cs="Arial"/>
          <w:szCs w:val="24"/>
        </w:rPr>
        <w:t>Makridis</w:t>
      </w:r>
      <w:proofErr w:type="spellEnd"/>
      <w:r w:rsidRPr="00312389">
        <w:rPr>
          <w:rFonts w:ascii="Arial" w:hAnsi="Arial" w:cs="Arial"/>
          <w:szCs w:val="24"/>
        </w:rPr>
        <w:t xml:space="preserve"> and </w:t>
      </w:r>
      <w:proofErr w:type="spellStart"/>
      <w:r w:rsidRPr="00312389">
        <w:rPr>
          <w:rFonts w:ascii="Arial" w:hAnsi="Arial" w:cs="Arial"/>
          <w:szCs w:val="24"/>
        </w:rPr>
        <w:t>Smeets</w:t>
      </w:r>
      <w:proofErr w:type="spellEnd"/>
      <w:r w:rsidRPr="00312389">
        <w:rPr>
          <w:rFonts w:ascii="Arial" w:hAnsi="Arial" w:cs="Arial"/>
          <w:szCs w:val="24"/>
        </w:rPr>
        <w:t>, 2019). Instead, it is a relational approach to be of interest to other SME’s industrial sectors.</w:t>
      </w:r>
    </w:p>
    <w:p w14:paraId="731BE5B2" w14:textId="7D737DF0" w:rsidR="00155717" w:rsidRDefault="009B31C6" w:rsidP="00155717">
      <w:pPr>
        <w:spacing w:line="480" w:lineRule="auto"/>
        <w:ind w:firstLine="576"/>
        <w:jc w:val="both"/>
        <w:rPr>
          <w:rFonts w:ascii="Arial" w:hAnsi="Arial" w:cs="Arial"/>
          <w:szCs w:val="24"/>
        </w:rPr>
      </w:pPr>
      <w:r w:rsidRPr="00312389">
        <w:rPr>
          <w:rFonts w:ascii="Arial" w:hAnsi="Arial" w:cs="Arial"/>
          <w:szCs w:val="24"/>
        </w:rPr>
        <w:t xml:space="preserve">With such initiative, combining both quantitative and qualitative methods might assist in the understanding of the developing issues within the Literature Review in Chapter Two. Nonetheless, the fundamental focus of this research strategy is the collection of secondary qualitative data. The approach will triangulate between multiple different research methods: literature research, a matter of SME Aviation, and benchmarking in research. Such triangulation could enable the researcher to obtain a more precious insight into reality as diverse methods that focus on various aspects of reality. In this way, the consolidation of a few techniques becomes a </w:t>
      </w:r>
      <w:r w:rsidRPr="00312389">
        <w:rPr>
          <w:rFonts w:ascii="Arial" w:hAnsi="Arial" w:cs="Arial"/>
          <w:szCs w:val="24"/>
        </w:rPr>
        <w:lastRenderedPageBreak/>
        <w:t xml:space="preserve">single bit of research or research aspiration (Hassan </w:t>
      </w:r>
      <w:r w:rsidR="00B50415" w:rsidRPr="00B50415">
        <w:rPr>
          <w:rFonts w:ascii="Arial" w:hAnsi="Arial" w:cs="Arial"/>
          <w:i/>
          <w:iCs/>
          <w:szCs w:val="24"/>
        </w:rPr>
        <w:t>et al</w:t>
      </w:r>
      <w:r w:rsidRPr="00312389">
        <w:rPr>
          <w:rFonts w:ascii="Arial" w:hAnsi="Arial" w:cs="Arial"/>
          <w:szCs w:val="24"/>
        </w:rPr>
        <w:t xml:space="preserve">., 2018; Pascal </w:t>
      </w:r>
      <w:r w:rsidR="00B50415" w:rsidRPr="00B50415">
        <w:rPr>
          <w:rFonts w:ascii="Arial" w:hAnsi="Arial" w:cs="Arial"/>
          <w:i/>
          <w:iCs/>
          <w:szCs w:val="24"/>
        </w:rPr>
        <w:t>et al</w:t>
      </w:r>
      <w:r w:rsidRPr="00312389">
        <w:rPr>
          <w:rFonts w:ascii="Arial" w:hAnsi="Arial" w:cs="Arial"/>
          <w:szCs w:val="24"/>
        </w:rPr>
        <w:t>., 2018). The opportunity to explore the relationship that exists between ITG and the problems that arise with MSGS for decision-makers in the SME Aviation digital world in the UK is intriguing.</w:t>
      </w:r>
      <w:r w:rsidR="00155717">
        <w:rPr>
          <w:rFonts w:ascii="Arial" w:hAnsi="Arial" w:cs="Arial"/>
          <w:szCs w:val="24"/>
        </w:rPr>
        <w:t xml:space="preserve"> </w:t>
      </w:r>
    </w:p>
    <w:p w14:paraId="4023895F" w14:textId="3F467E88" w:rsidR="00155717" w:rsidRDefault="009B31C6" w:rsidP="00155717">
      <w:pPr>
        <w:spacing w:line="480" w:lineRule="auto"/>
        <w:ind w:firstLine="576"/>
        <w:jc w:val="both"/>
        <w:rPr>
          <w:rFonts w:ascii="Arial" w:hAnsi="Arial" w:cs="Arial"/>
          <w:szCs w:val="24"/>
        </w:rPr>
      </w:pPr>
      <w:r w:rsidRPr="00312389">
        <w:rPr>
          <w:rFonts w:ascii="Arial" w:hAnsi="Arial" w:cs="Arial"/>
          <w:szCs w:val="24"/>
        </w:rPr>
        <w:t xml:space="preserve">Secondary data exploratory research in ITG tends to take place via the mechanism of respondents to questionnaires. For example, </w:t>
      </w:r>
      <w:proofErr w:type="spellStart"/>
      <w:r w:rsidRPr="00312389">
        <w:rPr>
          <w:rFonts w:ascii="Arial" w:hAnsi="Arial" w:cs="Arial"/>
          <w:szCs w:val="24"/>
        </w:rPr>
        <w:t>Alreemy</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2016; Clarke and Cossette, 2016; Harding, 2018; Khan </w:t>
      </w:r>
      <w:r w:rsidR="00B50415" w:rsidRPr="00B50415">
        <w:rPr>
          <w:rFonts w:ascii="Arial" w:hAnsi="Arial" w:cs="Arial"/>
          <w:i/>
          <w:iCs/>
          <w:szCs w:val="24"/>
        </w:rPr>
        <w:t>et al</w:t>
      </w:r>
      <w:r w:rsidRPr="00312389">
        <w:rPr>
          <w:rFonts w:ascii="Arial" w:hAnsi="Arial" w:cs="Arial"/>
          <w:szCs w:val="24"/>
        </w:rPr>
        <w:t xml:space="preserve">., 2019; Lowry </w:t>
      </w:r>
      <w:r w:rsidR="00B50415" w:rsidRPr="00B50415">
        <w:rPr>
          <w:rFonts w:ascii="Arial" w:hAnsi="Arial" w:cs="Arial"/>
          <w:i/>
          <w:iCs/>
          <w:szCs w:val="24"/>
        </w:rPr>
        <w:t>et al</w:t>
      </w:r>
      <w:r w:rsidRPr="00312389">
        <w:rPr>
          <w:rFonts w:ascii="Arial" w:hAnsi="Arial" w:cs="Arial"/>
          <w:szCs w:val="24"/>
        </w:rPr>
        <w:t xml:space="preserve">., 2016 adopted such an approach. With regards to quantitative data, this approach could espouse MSGS appropriately (Harding, 2018; Khan </w:t>
      </w:r>
      <w:r w:rsidR="00B50415" w:rsidRPr="00B50415">
        <w:rPr>
          <w:rFonts w:ascii="Arial" w:hAnsi="Arial" w:cs="Arial"/>
          <w:i/>
          <w:iCs/>
          <w:szCs w:val="24"/>
        </w:rPr>
        <w:t>et al</w:t>
      </w:r>
      <w:r w:rsidRPr="00312389">
        <w:rPr>
          <w:rFonts w:ascii="Arial" w:hAnsi="Arial" w:cs="Arial"/>
          <w:szCs w:val="24"/>
        </w:rPr>
        <w:t>., 2019); for instance, '58 % of the considerable number of respondents stated they had a cybersecurity policy in their organisations' instead of testing qualitative data. It is expected that the result of reanalysing of the secondary qualitative data forms an essential input to the outcome of this study (see Table 3.1). The reader of the formulated recommendations of this study will picture the relationship between the ITG implementation and MSGS. Additionally, they will relate to the tapestry of knowledge that is developing around the field of Cyber policy - the implementable cyber policy.</w:t>
      </w:r>
      <w:r w:rsidR="00155717">
        <w:rPr>
          <w:rFonts w:ascii="Arial" w:hAnsi="Arial" w:cs="Arial"/>
          <w:szCs w:val="24"/>
        </w:rPr>
        <w:t xml:space="preserve"> </w:t>
      </w:r>
    </w:p>
    <w:p w14:paraId="13EAB948" w14:textId="6AECFA9F" w:rsidR="00C73FED" w:rsidRDefault="009B31C6" w:rsidP="00155717">
      <w:pPr>
        <w:spacing w:line="480" w:lineRule="auto"/>
        <w:ind w:firstLine="576"/>
        <w:jc w:val="both"/>
        <w:rPr>
          <w:rFonts w:ascii="Arial" w:hAnsi="Arial" w:cs="Arial"/>
          <w:szCs w:val="24"/>
        </w:rPr>
      </w:pPr>
      <w:r w:rsidRPr="00312389">
        <w:rPr>
          <w:rFonts w:ascii="Arial" w:hAnsi="Arial" w:cs="Arial"/>
          <w:szCs w:val="24"/>
        </w:rPr>
        <w:t>There are three reasons for choosing the UK’s SME Aviation. First, the six objectives in the UK Aviation Strategy 2017, to be achievable, ITG must correctly be an essential inclusion. For instance, the assertion of suitability in SMEs revealed that practitioners and scholars could recall the impact of theoretical frameworks. And as such, possibly propose alternatives that are cost-effective and specifically implementable in organisations with MSGS possibilities (</w:t>
      </w:r>
      <w:proofErr w:type="spellStart"/>
      <w:r w:rsidRPr="00312389">
        <w:rPr>
          <w:rFonts w:ascii="Arial" w:hAnsi="Arial" w:cs="Arial"/>
          <w:szCs w:val="24"/>
        </w:rPr>
        <w:t>Banham</w:t>
      </w:r>
      <w:proofErr w:type="spellEnd"/>
      <w:r w:rsidRPr="00312389">
        <w:rPr>
          <w:rFonts w:ascii="Arial" w:hAnsi="Arial" w:cs="Arial"/>
          <w:szCs w:val="24"/>
        </w:rPr>
        <w:t xml:space="preserve"> and He 2010; Bergeron </w:t>
      </w:r>
      <w:r w:rsidR="00B50415" w:rsidRPr="00B50415">
        <w:rPr>
          <w:rFonts w:ascii="Arial" w:hAnsi="Arial" w:cs="Arial"/>
          <w:i/>
          <w:iCs/>
          <w:szCs w:val="24"/>
        </w:rPr>
        <w:t>et al</w:t>
      </w:r>
      <w:r w:rsidRPr="00312389">
        <w:rPr>
          <w:rFonts w:ascii="Arial" w:hAnsi="Arial" w:cs="Arial"/>
          <w:szCs w:val="24"/>
        </w:rPr>
        <w:t xml:space="preserve">. 2015; Silva, da Silva and Pereira 2018). The selection of SME Aviation allows the researcher to use secondary data. It helps in the reuse of </w:t>
      </w:r>
      <w:r w:rsidRPr="00312389">
        <w:rPr>
          <w:rFonts w:ascii="Arial" w:hAnsi="Arial" w:cs="Arial"/>
          <w:szCs w:val="24"/>
        </w:rPr>
        <w:lastRenderedPageBreak/>
        <w:t xml:space="preserve">primary data of the past research on how decision-makers are preparing for the challenge of achieving the implementable cyber policy from a different SMEs’ security culture. Secondly, the bi- and multi-lateral requests for the implementation of the right industrial cyber strategy and how the plan could contribute to the robustness of multi-stakeholder governance approach remain a global issue (Aggarwal and </w:t>
      </w:r>
      <w:proofErr w:type="spellStart"/>
      <w:r w:rsidRPr="00312389">
        <w:rPr>
          <w:rFonts w:ascii="Arial" w:hAnsi="Arial" w:cs="Arial"/>
          <w:szCs w:val="24"/>
        </w:rPr>
        <w:t>Reddie</w:t>
      </w:r>
      <w:proofErr w:type="spellEnd"/>
      <w:r w:rsidRPr="00312389">
        <w:rPr>
          <w:rFonts w:ascii="Arial" w:hAnsi="Arial" w:cs="Arial"/>
          <w:szCs w:val="24"/>
        </w:rPr>
        <w:t xml:space="preserve">, 2018; Bartlett, 2018; </w:t>
      </w:r>
      <w:proofErr w:type="spellStart"/>
      <w:r w:rsidRPr="00312389">
        <w:rPr>
          <w:rFonts w:ascii="Arial" w:hAnsi="Arial" w:cs="Arial"/>
          <w:szCs w:val="24"/>
        </w:rPr>
        <w:t>Timmers</w:t>
      </w:r>
      <w:proofErr w:type="spellEnd"/>
      <w:r w:rsidRPr="00312389">
        <w:rPr>
          <w:rFonts w:ascii="Arial" w:hAnsi="Arial" w:cs="Arial"/>
          <w:szCs w:val="24"/>
        </w:rPr>
        <w:t xml:space="preserve">, 2018). The EU, UK’s MOD, US’s DOD are successful players promoting such an initiative even till date. </w:t>
      </w:r>
      <w:proofErr w:type="spellStart"/>
      <w:r w:rsidRPr="00312389">
        <w:rPr>
          <w:rFonts w:ascii="Arial" w:hAnsi="Arial" w:cs="Arial"/>
          <w:szCs w:val="24"/>
        </w:rPr>
        <w:t>GreenPope</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(2010) argue that such an approach “requires tightly choreographed activities across organisations in diverse locations.” The strategy accentuates the responsibilities of Airport Commissions, Department of Transport, Ministry of </w:t>
      </w:r>
      <w:proofErr w:type="spellStart"/>
      <w:r w:rsidRPr="00312389">
        <w:rPr>
          <w:rFonts w:ascii="Arial" w:hAnsi="Arial" w:cs="Arial"/>
          <w:szCs w:val="24"/>
        </w:rPr>
        <w:t>Defense</w:t>
      </w:r>
      <w:proofErr w:type="spellEnd"/>
      <w:r w:rsidRPr="00312389">
        <w:rPr>
          <w:rFonts w:ascii="Arial" w:hAnsi="Arial" w:cs="Arial"/>
          <w:szCs w:val="24"/>
        </w:rPr>
        <w:t xml:space="preserve"> (MOD) and other Aviation security organisations, adopting such a synergy.  </w:t>
      </w:r>
    </w:p>
    <w:p w14:paraId="3CE9FB2B" w14:textId="77777777" w:rsidR="00C73FED" w:rsidRDefault="009B31C6" w:rsidP="00C73FED">
      <w:pPr>
        <w:spacing w:line="480" w:lineRule="auto"/>
        <w:ind w:firstLine="576"/>
        <w:jc w:val="both"/>
        <w:rPr>
          <w:rFonts w:ascii="Arial" w:hAnsi="Arial" w:cs="Arial"/>
          <w:szCs w:val="24"/>
        </w:rPr>
      </w:pPr>
      <w:r w:rsidRPr="00312389">
        <w:rPr>
          <w:rFonts w:ascii="Arial" w:hAnsi="Arial" w:cs="Arial"/>
          <w:szCs w:val="24"/>
        </w:rPr>
        <w:t>Thirdly, the continued role of businesses, governments, other critical stakeholders in the emergence of industrial policy remain an opportunity. When this couple with the emerging escalation of the geopolitical context in cyber policy content of both UK, US, and other world power, it provides a strategic competition within the market space. Revealing evidence for the social inclusion of implementable cyber policy within the industrial policy strategy remains trending.  The Literature Review section seems to support both the second and third assertions, with the anchor that widespread the use of the internet as a global venue for international cybercrime.</w:t>
      </w:r>
      <w:r w:rsidR="00C73FED">
        <w:rPr>
          <w:rFonts w:ascii="Arial" w:hAnsi="Arial" w:cs="Arial"/>
          <w:szCs w:val="24"/>
        </w:rPr>
        <w:t xml:space="preserve"> </w:t>
      </w:r>
    </w:p>
    <w:p w14:paraId="5EB77A95" w14:textId="1312C970" w:rsidR="009B31C6" w:rsidRPr="00312389" w:rsidRDefault="009B31C6" w:rsidP="00C73FED">
      <w:pPr>
        <w:spacing w:line="480" w:lineRule="auto"/>
        <w:ind w:firstLine="576"/>
        <w:jc w:val="both"/>
        <w:rPr>
          <w:rFonts w:ascii="Arial" w:hAnsi="Arial" w:cs="Arial"/>
          <w:szCs w:val="24"/>
        </w:rPr>
      </w:pPr>
      <w:r w:rsidRPr="00312389">
        <w:rPr>
          <w:rFonts w:ascii="Arial" w:hAnsi="Arial" w:cs="Arial"/>
          <w:szCs w:val="24"/>
        </w:rPr>
        <w:t>In the achievement of the overall aim of this exploratory study, decision-makers involved with the deployment of ITG models in the SMEs take the essential role (</w:t>
      </w:r>
      <w:proofErr w:type="spellStart"/>
      <w:r w:rsidRPr="00312389">
        <w:rPr>
          <w:rFonts w:ascii="Arial" w:hAnsi="Arial" w:cs="Arial"/>
          <w:szCs w:val="24"/>
        </w:rPr>
        <w:t>Banham</w:t>
      </w:r>
      <w:proofErr w:type="spellEnd"/>
      <w:r w:rsidRPr="00312389">
        <w:rPr>
          <w:rFonts w:ascii="Arial" w:hAnsi="Arial" w:cs="Arial"/>
          <w:szCs w:val="24"/>
        </w:rPr>
        <w:t xml:space="preserve"> and He, 2010). The central aim is to increase a rich, three-dimensional picture of implementable cyber policy. Such an approach centre on </w:t>
      </w:r>
      <w:proofErr w:type="spellStart"/>
      <w:r w:rsidRPr="00312389">
        <w:rPr>
          <w:rFonts w:ascii="Arial" w:hAnsi="Arial" w:cs="Arial"/>
          <w:szCs w:val="24"/>
        </w:rPr>
        <w:lastRenderedPageBreak/>
        <w:t>multistakeholder</w:t>
      </w:r>
      <w:proofErr w:type="spellEnd"/>
      <w:r w:rsidRPr="00312389">
        <w:rPr>
          <w:rFonts w:ascii="Arial" w:hAnsi="Arial" w:cs="Arial"/>
          <w:szCs w:val="24"/>
        </w:rPr>
        <w:t>. Further, there is a need to ascertain the view of SME decision-makers in the determination of the relationship that may exist between variables. The relationship that exists could help variously. All suffice to uncover a further vulnerability in ITG models and support decision-making; primarily to determine the impact of cyber-attacks on UK’s SME Aviation in terms of risks and costs (</w:t>
      </w:r>
      <w:proofErr w:type="spellStart"/>
      <w:r w:rsidRPr="00312389">
        <w:rPr>
          <w:rFonts w:ascii="Arial" w:hAnsi="Arial" w:cs="Arial"/>
          <w:szCs w:val="24"/>
        </w:rPr>
        <w:t>Asgarkhani</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2018; Gregory </w:t>
      </w:r>
      <w:r w:rsidR="00B50415" w:rsidRPr="00B50415">
        <w:rPr>
          <w:rFonts w:ascii="Arial" w:hAnsi="Arial" w:cs="Arial"/>
          <w:i/>
          <w:iCs/>
          <w:szCs w:val="24"/>
        </w:rPr>
        <w:t>et al</w:t>
      </w:r>
      <w:r w:rsidRPr="00312389">
        <w:rPr>
          <w:rFonts w:ascii="Arial" w:hAnsi="Arial" w:cs="Arial"/>
          <w:szCs w:val="24"/>
        </w:rPr>
        <w:t>., 2018).</w:t>
      </w:r>
    </w:p>
    <w:p w14:paraId="6D13ABC1" w14:textId="4D71AFBF" w:rsidR="002E234C" w:rsidRPr="00312389" w:rsidRDefault="001E19D0" w:rsidP="00D40EBB">
      <w:pPr>
        <w:pStyle w:val="Heading2"/>
        <w:spacing w:line="480" w:lineRule="auto"/>
        <w:rPr>
          <w:rFonts w:ascii="Arial" w:hAnsi="Arial" w:cs="Arial"/>
        </w:rPr>
      </w:pPr>
      <w:bookmarkStart w:id="33" w:name="_Toc72189385"/>
      <w:r w:rsidRPr="00312389">
        <w:rPr>
          <w:rFonts w:ascii="Arial" w:hAnsi="Arial" w:cs="Arial"/>
        </w:rPr>
        <w:t>Data Collection Methods</w:t>
      </w:r>
      <w:bookmarkEnd w:id="33"/>
    </w:p>
    <w:p w14:paraId="20658E59" w14:textId="77777777" w:rsidR="00C73FED" w:rsidRDefault="001E19D0" w:rsidP="00C73FED">
      <w:pPr>
        <w:spacing w:line="480" w:lineRule="auto"/>
        <w:ind w:firstLine="576"/>
        <w:jc w:val="both"/>
        <w:rPr>
          <w:rFonts w:ascii="Arial" w:hAnsi="Arial" w:cs="Arial"/>
          <w:szCs w:val="24"/>
        </w:rPr>
      </w:pPr>
      <w:r w:rsidRPr="00312389">
        <w:rPr>
          <w:rFonts w:ascii="Arial" w:hAnsi="Arial" w:cs="Arial"/>
          <w:szCs w:val="24"/>
        </w:rPr>
        <w:t>The selection means to collect secondary data is correspondingly essential to the choice of research strategy and its justification (see section 3.1). The study's interest is centred around collecting secondary qualitative data. As such, it relied on data compiled and analysed from previous research. The researcher's desire for detailed input from UK's SME Aviation decision-makers need to avoid apparent difficulties. For instance, complexity related to compare findings from the literature review. A recommendation in terms of advice or strategy on the way forward would help to prepare decision-makers in some way. For example, implementing cyber policy would appreciably weaken if secondary qualitative data are not available from the applicable industrial sector.</w:t>
      </w:r>
    </w:p>
    <w:p w14:paraId="1186C905" w14:textId="25A08B0F" w:rsidR="004759F1" w:rsidRDefault="001E19D0" w:rsidP="004759F1">
      <w:pPr>
        <w:spacing w:line="480" w:lineRule="auto"/>
        <w:ind w:firstLine="576"/>
        <w:jc w:val="both"/>
        <w:rPr>
          <w:rFonts w:ascii="Arial" w:hAnsi="Arial" w:cs="Arial"/>
          <w:szCs w:val="24"/>
        </w:rPr>
      </w:pPr>
      <w:r w:rsidRPr="00312389">
        <w:rPr>
          <w:rFonts w:ascii="Arial" w:hAnsi="Arial" w:cs="Arial"/>
          <w:szCs w:val="24"/>
        </w:rPr>
        <w:t>The data collection techniques are obtained from the survey located in futurelearn.com (see Figure 3.1) and the transcription of the collected data shown in Table 3.1. The method provides appropriate means of collecting secondary qualitative data, and commonly applied to such a strategy (</w:t>
      </w:r>
      <w:proofErr w:type="spellStart"/>
      <w:r w:rsidRPr="00312389">
        <w:rPr>
          <w:rFonts w:ascii="Arial" w:hAnsi="Arial" w:cs="Arial"/>
          <w:szCs w:val="24"/>
        </w:rPr>
        <w:t>Palinkas</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2015; Johnston, 2017; Bishop and </w:t>
      </w:r>
      <w:proofErr w:type="spellStart"/>
      <w:r w:rsidRPr="00312389">
        <w:rPr>
          <w:rFonts w:ascii="Arial" w:hAnsi="Arial" w:cs="Arial"/>
          <w:szCs w:val="24"/>
        </w:rPr>
        <w:t>Kuula-Luumi</w:t>
      </w:r>
      <w:proofErr w:type="spellEnd"/>
      <w:r w:rsidRPr="00312389">
        <w:rPr>
          <w:rFonts w:ascii="Arial" w:hAnsi="Arial" w:cs="Arial"/>
          <w:szCs w:val="24"/>
        </w:rPr>
        <w:t xml:space="preserve">, 2017). The technique provides a non-time-consuming path to raising questions the researcher would have asked in a </w:t>
      </w:r>
      <w:r w:rsidRPr="00312389">
        <w:rPr>
          <w:rFonts w:ascii="Arial" w:hAnsi="Arial" w:cs="Arial"/>
          <w:szCs w:val="24"/>
        </w:rPr>
        <w:lastRenderedPageBreak/>
        <w:t>structured interview scenario or that of any survey in a primary data collection technique.</w:t>
      </w:r>
    </w:p>
    <w:p w14:paraId="54E894F0" w14:textId="6414EAF6" w:rsidR="001E19D0" w:rsidRPr="00312389" w:rsidRDefault="001E19D0" w:rsidP="004759F1">
      <w:pPr>
        <w:spacing w:line="480" w:lineRule="auto"/>
        <w:ind w:firstLine="576"/>
        <w:jc w:val="both"/>
        <w:rPr>
          <w:rFonts w:ascii="Arial" w:hAnsi="Arial" w:cs="Arial"/>
          <w:szCs w:val="24"/>
        </w:rPr>
      </w:pPr>
      <w:r w:rsidRPr="00312389">
        <w:rPr>
          <w:rFonts w:ascii="Arial" w:hAnsi="Arial" w:cs="Arial"/>
          <w:szCs w:val="24"/>
        </w:rPr>
        <w:t xml:space="preserve">The technique would ease the application of Principal Component (PCA) and the Link Analysis (LA) to help the researcher in the reanalysis of the data to meet objectives 3 and 5.  The methodology, albeit advantageous, gives the chance to obtain secondary qualitative data with the benefit of providing an immediate inquiry system substantially. The inquiries remain as significant to the exploration issues. On balance, they will traction. The use of secondary qualitative data, coupled with the findings from the literature review is, therefore, appropriate to this study. Such a method allows for insightful and critical discussion with pertinent multi-stakeholder synergy in a dedicated framework. </w:t>
      </w:r>
    </w:p>
    <w:p w14:paraId="79A69F37" w14:textId="6145444F" w:rsidR="001E19D0" w:rsidRPr="00312389" w:rsidRDefault="001E19D0" w:rsidP="00D40EBB">
      <w:pPr>
        <w:spacing w:line="480" w:lineRule="auto"/>
        <w:jc w:val="both"/>
        <w:rPr>
          <w:rFonts w:ascii="Arial" w:hAnsi="Arial" w:cs="Arial"/>
          <w:b/>
          <w:bCs/>
          <w:szCs w:val="24"/>
        </w:rPr>
      </w:pPr>
      <w:r w:rsidRPr="00312389">
        <w:rPr>
          <w:rFonts w:ascii="Arial" w:hAnsi="Arial" w:cs="Arial"/>
          <w:b/>
          <w:bCs/>
          <w:noProof/>
          <w:szCs w:val="24"/>
        </w:rPr>
        <w:drawing>
          <wp:inline distT="0" distB="0" distL="0" distR="0" wp14:anchorId="0C3363C0" wp14:editId="2A866EA7">
            <wp:extent cx="5876925" cy="3009900"/>
            <wp:effectExtent l="0" t="0" r="952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 Collection.jpg"/>
                    <pic:cNvPicPr/>
                  </pic:nvPicPr>
                  <pic:blipFill>
                    <a:blip r:embed="rId8">
                      <a:extLst>
                        <a:ext uri="{28A0092B-C50C-407E-A947-70E740481C1C}">
                          <a14:useLocalDpi xmlns:a14="http://schemas.microsoft.com/office/drawing/2010/main" val="0"/>
                        </a:ext>
                      </a:extLst>
                    </a:blip>
                    <a:stretch>
                      <a:fillRect/>
                    </a:stretch>
                  </pic:blipFill>
                  <pic:spPr>
                    <a:xfrm>
                      <a:off x="0" y="0"/>
                      <a:ext cx="5876925" cy="3009900"/>
                    </a:xfrm>
                    <a:prstGeom prst="rect">
                      <a:avLst/>
                    </a:prstGeom>
                  </pic:spPr>
                </pic:pic>
              </a:graphicData>
            </a:graphic>
          </wp:inline>
        </w:drawing>
      </w:r>
    </w:p>
    <w:p w14:paraId="395A68A9" w14:textId="19649297" w:rsidR="001E19D0" w:rsidRPr="00312389" w:rsidRDefault="00930821" w:rsidP="00D40EBB">
      <w:pPr>
        <w:pStyle w:val="Heading2"/>
        <w:numPr>
          <w:ilvl w:val="0"/>
          <w:numId w:val="0"/>
        </w:numPr>
        <w:spacing w:line="480" w:lineRule="auto"/>
        <w:ind w:left="576" w:hanging="576"/>
        <w:rPr>
          <w:rFonts w:ascii="Arial" w:hAnsi="Arial" w:cs="Arial"/>
          <w:sz w:val="24"/>
          <w:szCs w:val="24"/>
        </w:rPr>
      </w:pPr>
      <w:bookmarkStart w:id="34" w:name="_Toc72189386"/>
      <w:r w:rsidRPr="00312389">
        <w:rPr>
          <w:rFonts w:ascii="Arial" w:hAnsi="Arial" w:cs="Arial"/>
        </w:rPr>
        <w:t>3.4</w:t>
      </w:r>
      <w:r w:rsidRPr="00312389">
        <w:rPr>
          <w:rFonts w:ascii="Arial" w:hAnsi="Arial" w:cs="Arial"/>
        </w:rPr>
        <w:tab/>
      </w:r>
      <w:r w:rsidR="001E19D0" w:rsidRPr="00312389">
        <w:rPr>
          <w:rFonts w:ascii="Arial" w:hAnsi="Arial" w:cs="Arial"/>
        </w:rPr>
        <w:t>Framework for Analysis</w:t>
      </w:r>
      <w:bookmarkEnd w:id="34"/>
      <w:r w:rsidR="001E19D0" w:rsidRPr="00312389">
        <w:rPr>
          <w:rFonts w:ascii="Arial" w:hAnsi="Arial" w:cs="Arial"/>
        </w:rPr>
        <w:t xml:space="preserve"> </w:t>
      </w:r>
    </w:p>
    <w:p w14:paraId="3F198F03" w14:textId="77777777" w:rsidR="004759F1" w:rsidRDefault="001E19D0" w:rsidP="004759F1">
      <w:pPr>
        <w:spacing w:line="480" w:lineRule="auto"/>
        <w:ind w:firstLine="576"/>
        <w:jc w:val="both"/>
        <w:rPr>
          <w:rFonts w:ascii="Arial" w:hAnsi="Arial" w:cs="Arial"/>
          <w:szCs w:val="24"/>
        </w:rPr>
      </w:pPr>
      <w:r w:rsidRPr="00312389">
        <w:rPr>
          <w:rFonts w:ascii="Arial" w:hAnsi="Arial" w:cs="Arial"/>
          <w:szCs w:val="24"/>
        </w:rPr>
        <w:t xml:space="preserve">In terms of reflecting the objectives of this study, the ease of reanalysing the secondary qualitative data, the survey questions are limited to six open items according to themes. These themes reflect the overall aim and objectives, echoing </w:t>
      </w:r>
      <w:r w:rsidRPr="00312389">
        <w:rPr>
          <w:rFonts w:ascii="Arial" w:hAnsi="Arial" w:cs="Arial"/>
          <w:szCs w:val="24"/>
        </w:rPr>
        <w:lastRenderedPageBreak/>
        <w:t>core areas that arises from the review of the literature. Linkages between ITG and MSGS, Scaling and Scalability mechanisms, scaling as a Security Strategy and, to formulate recommendations and conclude, reflections and future directions.</w:t>
      </w:r>
      <w:r w:rsidR="004759F1">
        <w:rPr>
          <w:rFonts w:ascii="Arial" w:hAnsi="Arial" w:cs="Arial"/>
          <w:szCs w:val="24"/>
        </w:rPr>
        <w:t xml:space="preserve"> </w:t>
      </w:r>
    </w:p>
    <w:p w14:paraId="64455BC2" w14:textId="77777777" w:rsidR="004759F1" w:rsidRDefault="001E19D0" w:rsidP="004759F1">
      <w:pPr>
        <w:spacing w:line="480" w:lineRule="auto"/>
        <w:ind w:firstLine="576"/>
        <w:jc w:val="both"/>
        <w:rPr>
          <w:rFonts w:ascii="Arial" w:hAnsi="Arial" w:cs="Arial"/>
          <w:szCs w:val="24"/>
        </w:rPr>
      </w:pPr>
      <w:r w:rsidRPr="00312389">
        <w:rPr>
          <w:rFonts w:ascii="Arial" w:hAnsi="Arial" w:cs="Arial"/>
          <w:szCs w:val="24"/>
        </w:rPr>
        <w:t>The themes are interrelated. And as such, all the topics could relate mostly to 'Awareness of implementable cyber policy in UK's SMEs'. For instance, questions on some critical systems, the experience of a cyber-attack relate specifically to scaling and scalability mechanisms — the vulnerability of ITG models, which could drive decision-makers to implement cyber policy.  The themes are helpful in terms of focus and the reanalysis of the transcribed data (See Table 3.1).</w:t>
      </w:r>
      <w:r w:rsidR="004759F1">
        <w:rPr>
          <w:rFonts w:ascii="Arial" w:hAnsi="Arial" w:cs="Arial"/>
          <w:szCs w:val="24"/>
        </w:rPr>
        <w:t xml:space="preserve"> </w:t>
      </w:r>
    </w:p>
    <w:p w14:paraId="0AB1567B" w14:textId="71DC98BC" w:rsidR="00F95002" w:rsidRDefault="001E19D0" w:rsidP="00F95002">
      <w:pPr>
        <w:spacing w:line="480" w:lineRule="auto"/>
        <w:ind w:firstLine="576"/>
        <w:jc w:val="both"/>
        <w:rPr>
          <w:rFonts w:ascii="Arial" w:hAnsi="Arial" w:cs="Arial"/>
          <w:szCs w:val="24"/>
        </w:rPr>
      </w:pPr>
      <w:r w:rsidRPr="00312389">
        <w:rPr>
          <w:rFonts w:ascii="Arial" w:hAnsi="Arial" w:cs="Arial"/>
          <w:szCs w:val="24"/>
        </w:rPr>
        <w:t>Further, the ease of transcription is an indication for refocusing the research. Over 30% of the 2008 decision-makers respondents are UK's SME Aviation cyber policymakers. They answered six open questions to rate security tools and procedures in their respective SME. The items could be more closed and structured for the appropriate mix in case alternative research method adopted. Such a thematic approach to data analysis is useful to show the pattern and informed by grounded theory (</w:t>
      </w:r>
      <w:proofErr w:type="spellStart"/>
      <w:r w:rsidRPr="00312389">
        <w:rPr>
          <w:rFonts w:ascii="Arial" w:hAnsi="Arial" w:cs="Arial"/>
          <w:szCs w:val="24"/>
        </w:rPr>
        <w:t>Bryman</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2009).  The secondary data are in probing to establish culture when grouped into themes. Such provides a path to possible reflection on decision-makers' view on the implementable cyber policy and the security culture of the industrial sector.</w:t>
      </w:r>
    </w:p>
    <w:p w14:paraId="1C758CBC" w14:textId="40786F47" w:rsidR="00F95002" w:rsidRDefault="00C01FB2" w:rsidP="00F95002">
      <w:pPr>
        <w:spacing w:line="480" w:lineRule="auto"/>
        <w:ind w:firstLine="576"/>
        <w:jc w:val="both"/>
        <w:rPr>
          <w:rFonts w:ascii="Arial" w:hAnsi="Arial" w:cs="Arial"/>
          <w:color w:val="000000"/>
          <w:szCs w:val="24"/>
        </w:rPr>
      </w:pPr>
      <w:r w:rsidRPr="00DF5F80">
        <w:rPr>
          <w:rFonts w:ascii="Arial" w:hAnsi="Arial" w:cs="Arial"/>
          <w:color w:val="000000"/>
          <w:szCs w:val="24"/>
        </w:rPr>
        <w:t>The researcher will adopt PCA and LA to reanalyse the secondary data. Both approaches based on the iterative process of description, analysis and interpretation remain useful in the extracting and supplementing the evolving themes and their understanding (</w:t>
      </w:r>
      <w:proofErr w:type="spellStart"/>
      <w:r w:rsidRPr="00DF5F80">
        <w:rPr>
          <w:rFonts w:ascii="Arial" w:hAnsi="Arial" w:cs="Arial"/>
          <w:color w:val="000000"/>
          <w:szCs w:val="24"/>
        </w:rPr>
        <w:t>Bernauer</w:t>
      </w:r>
      <w:proofErr w:type="spellEnd"/>
      <w:r w:rsidRPr="00DF5F80">
        <w:rPr>
          <w:rFonts w:ascii="Arial" w:hAnsi="Arial" w:cs="Arial"/>
          <w:color w:val="000000"/>
          <w:szCs w:val="24"/>
        </w:rPr>
        <w:t xml:space="preserve">, 2015). The flow representation of the process shown in Figure 3.2. Nonetheless, the non-linear approach to analysing </w:t>
      </w:r>
      <w:r w:rsidRPr="00DF5F80">
        <w:rPr>
          <w:rFonts w:ascii="Arial" w:hAnsi="Arial" w:cs="Arial"/>
          <w:color w:val="000000"/>
          <w:szCs w:val="24"/>
        </w:rPr>
        <w:lastRenderedPageBreak/>
        <w:t xml:space="preserve">qualitative data requires an iterative process to capture, transcribe, and understand themes and patterns (Pascal </w:t>
      </w:r>
      <w:r w:rsidR="00B50415" w:rsidRPr="00B50415">
        <w:rPr>
          <w:rFonts w:ascii="Arial" w:hAnsi="Arial" w:cs="Arial"/>
          <w:i/>
          <w:iCs/>
          <w:color w:val="000000"/>
          <w:szCs w:val="24"/>
        </w:rPr>
        <w:t>et al</w:t>
      </w:r>
      <w:r w:rsidRPr="00DF5F80">
        <w:rPr>
          <w:rFonts w:ascii="Arial" w:hAnsi="Arial" w:cs="Arial"/>
          <w:color w:val="000000"/>
          <w:szCs w:val="24"/>
        </w:rPr>
        <w:t>. 2018; Silverman, 2016).</w:t>
      </w:r>
    </w:p>
    <w:p w14:paraId="416C3ADC" w14:textId="77777777" w:rsidR="00F95002" w:rsidRDefault="00C01FB2" w:rsidP="00F95002">
      <w:pPr>
        <w:spacing w:line="480" w:lineRule="auto"/>
        <w:ind w:firstLine="576"/>
        <w:jc w:val="both"/>
        <w:rPr>
          <w:rFonts w:ascii="Arial" w:hAnsi="Arial" w:cs="Arial"/>
          <w:color w:val="000000"/>
          <w:szCs w:val="24"/>
        </w:rPr>
      </w:pPr>
      <w:r w:rsidRPr="00DF5F80">
        <w:rPr>
          <w:rFonts w:ascii="Arial" w:hAnsi="Arial" w:cs="Arial"/>
          <w:color w:val="000000"/>
          <w:szCs w:val="24"/>
        </w:rPr>
        <w:t>The question may arise, why transcription? It is used to consider that an interview did not take place, recording on tape did not occur, but the researcher did a collation of the analysed primary data. In fulfilling an essential part of this research, a process to show all-the-encompassing reflection path suffices. Figure 3.3 provides a link to the results of the findings in the review of the literature. The use of PCA will help in fulfilling objectives 3, 5 as the</w:t>
      </w:r>
      <w:r w:rsidR="00DF5F80" w:rsidRPr="00DF5F80">
        <w:rPr>
          <w:rFonts w:ascii="Arial" w:hAnsi="Arial" w:cs="Arial"/>
          <w:color w:val="000000"/>
          <w:szCs w:val="24"/>
        </w:rPr>
        <w:t xml:space="preserve"> </w:t>
      </w:r>
      <w:r w:rsidRPr="00DF5F80">
        <w:rPr>
          <w:rFonts w:ascii="Arial" w:hAnsi="Arial" w:cs="Arial"/>
          <w:color w:val="000000"/>
          <w:szCs w:val="24"/>
        </w:rPr>
        <w:t>various components indicated by the relationships identified via the data set. Also, the use of LA will help to accentuate the non-linear approach to discuss the study findings.</w:t>
      </w:r>
    </w:p>
    <w:p w14:paraId="571809AC" w14:textId="49AC3DCA" w:rsidR="001E19D0" w:rsidRPr="00312389" w:rsidRDefault="001E19D0" w:rsidP="00F95002">
      <w:pPr>
        <w:spacing w:line="480" w:lineRule="auto"/>
        <w:ind w:firstLine="576"/>
        <w:jc w:val="both"/>
        <w:rPr>
          <w:rFonts w:ascii="Arial" w:hAnsi="Arial" w:cs="Arial"/>
          <w:szCs w:val="24"/>
        </w:rPr>
      </w:pPr>
      <w:r w:rsidRPr="00312389">
        <w:rPr>
          <w:rFonts w:ascii="Arial" w:hAnsi="Arial" w:cs="Arial"/>
          <w:szCs w:val="24"/>
        </w:rPr>
        <w:t xml:space="preserve">However, the reanalysis will overall, underscore the results of fulfilling objectives 3 and 5 and, enable critical discussion about the relevant literature review findings. The essence is to connect with the accepted practice in dealing with exploratory secondary data research (Bishop and </w:t>
      </w:r>
      <w:proofErr w:type="spellStart"/>
      <w:r w:rsidRPr="00312389">
        <w:rPr>
          <w:rFonts w:ascii="Arial" w:hAnsi="Arial" w:cs="Arial"/>
          <w:szCs w:val="24"/>
        </w:rPr>
        <w:t>Kuula-Luumi</w:t>
      </w:r>
      <w:proofErr w:type="spellEnd"/>
      <w:r w:rsidRPr="00312389">
        <w:rPr>
          <w:rFonts w:ascii="Arial" w:hAnsi="Arial" w:cs="Arial"/>
          <w:szCs w:val="24"/>
        </w:rPr>
        <w:t xml:space="preserve">, 2017).  Such as working with data to discover that importantly is prevailing to learning and decision-making within the UK's SME Aviation (Manville </w:t>
      </w:r>
      <w:r w:rsidR="00B50415" w:rsidRPr="00B50415">
        <w:rPr>
          <w:rFonts w:ascii="Arial" w:hAnsi="Arial" w:cs="Arial"/>
          <w:i/>
          <w:iCs/>
          <w:szCs w:val="24"/>
        </w:rPr>
        <w:t>et al</w:t>
      </w:r>
      <w:r w:rsidRPr="00312389">
        <w:rPr>
          <w:rFonts w:ascii="Arial" w:hAnsi="Arial" w:cs="Arial"/>
          <w:szCs w:val="24"/>
        </w:rPr>
        <w:t>., 2019).</w:t>
      </w:r>
      <w:r w:rsidRPr="00312389">
        <w:rPr>
          <w:rFonts w:ascii="Arial" w:hAnsi="Arial" w:cs="Arial"/>
          <w:noProof/>
          <w:szCs w:val="24"/>
        </w:rPr>
        <w:t xml:space="preserve"> </w:t>
      </w:r>
    </w:p>
    <w:p w14:paraId="5037F356" w14:textId="467AAB0B" w:rsidR="001E19D0" w:rsidRPr="00312389" w:rsidRDefault="00774683" w:rsidP="00D40EBB">
      <w:pPr>
        <w:spacing w:line="480" w:lineRule="auto"/>
        <w:jc w:val="both"/>
        <w:rPr>
          <w:rFonts w:ascii="Arial" w:hAnsi="Arial" w:cs="Arial"/>
          <w:noProof/>
          <w:szCs w:val="24"/>
        </w:rPr>
      </w:pPr>
      <w:r w:rsidRPr="00312389">
        <w:rPr>
          <w:rFonts w:ascii="Arial" w:hAnsi="Arial" w:cs="Arial"/>
          <w:noProof/>
          <w:szCs w:val="24"/>
        </w:rPr>
        <w:drawing>
          <wp:inline distT="0" distB="0" distL="0" distR="0" wp14:anchorId="6B009132" wp14:editId="584239FB">
            <wp:extent cx="5884559" cy="2859863"/>
            <wp:effectExtent l="0" t="0" r="1905"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ondary data reanalysis 3.2.jpg"/>
                    <pic:cNvPicPr/>
                  </pic:nvPicPr>
                  <pic:blipFill>
                    <a:blip r:embed="rId9">
                      <a:extLst>
                        <a:ext uri="{28A0092B-C50C-407E-A947-70E740481C1C}">
                          <a14:useLocalDpi xmlns:a14="http://schemas.microsoft.com/office/drawing/2010/main" val="0"/>
                        </a:ext>
                      </a:extLst>
                    </a:blip>
                    <a:stretch>
                      <a:fillRect/>
                    </a:stretch>
                  </pic:blipFill>
                  <pic:spPr>
                    <a:xfrm>
                      <a:off x="0" y="0"/>
                      <a:ext cx="5922948" cy="2878520"/>
                    </a:xfrm>
                    <a:prstGeom prst="rect">
                      <a:avLst/>
                    </a:prstGeom>
                  </pic:spPr>
                </pic:pic>
              </a:graphicData>
            </a:graphic>
          </wp:inline>
        </w:drawing>
      </w:r>
    </w:p>
    <w:p w14:paraId="62952423" w14:textId="7B878BE5" w:rsidR="001E19D0" w:rsidRPr="00312389" w:rsidRDefault="001E19D0" w:rsidP="00D40EBB">
      <w:pPr>
        <w:spacing w:line="480" w:lineRule="auto"/>
        <w:jc w:val="both"/>
        <w:rPr>
          <w:rFonts w:ascii="Arial" w:hAnsi="Arial" w:cs="Arial"/>
          <w:szCs w:val="24"/>
        </w:rPr>
      </w:pPr>
      <w:r w:rsidRPr="00312389">
        <w:rPr>
          <w:rFonts w:ascii="Arial" w:hAnsi="Arial" w:cs="Arial"/>
          <w:noProof/>
          <w:szCs w:val="24"/>
        </w:rPr>
        <w:lastRenderedPageBreak/>
        <w:drawing>
          <wp:anchor distT="0" distB="0" distL="114300" distR="114300" simplePos="0" relativeHeight="251659264" behindDoc="1" locked="0" layoutInCell="1" allowOverlap="1" wp14:anchorId="0AB76DF7" wp14:editId="3A02571A">
            <wp:simplePos x="0" y="0"/>
            <wp:positionH relativeFrom="margin">
              <wp:align>left</wp:align>
            </wp:positionH>
            <wp:positionV relativeFrom="paragraph">
              <wp:posOffset>301625</wp:posOffset>
            </wp:positionV>
            <wp:extent cx="5267325" cy="4667250"/>
            <wp:effectExtent l="0" t="0" r="9525" b="0"/>
            <wp:wrapTight wrapText="bothSides">
              <wp:wrapPolygon edited="0">
                <wp:start x="0" y="0"/>
                <wp:lineTo x="0" y="21512"/>
                <wp:lineTo x="21561" y="21512"/>
                <wp:lineTo x="21561" y="0"/>
                <wp:lineTo x="0" y="0"/>
              </wp:wrapPolygon>
            </wp:wrapTight>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ondary data reanalysis 3.3.jpg"/>
                    <pic:cNvPicPr/>
                  </pic:nvPicPr>
                  <pic:blipFill rotWithShape="1">
                    <a:blip r:embed="rId10">
                      <a:extLst>
                        <a:ext uri="{28A0092B-C50C-407E-A947-70E740481C1C}">
                          <a14:useLocalDpi xmlns:a14="http://schemas.microsoft.com/office/drawing/2010/main" val="0"/>
                        </a:ext>
                      </a:extLst>
                    </a:blip>
                    <a:srcRect l="2063" r="4105"/>
                    <a:stretch/>
                  </pic:blipFill>
                  <pic:spPr bwMode="auto">
                    <a:xfrm>
                      <a:off x="0" y="0"/>
                      <a:ext cx="5267325" cy="466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5ADD2" w14:textId="03261E15" w:rsidR="00930821" w:rsidRPr="00312389" w:rsidRDefault="00930821" w:rsidP="00D40EBB">
      <w:pPr>
        <w:pStyle w:val="Heading2"/>
        <w:numPr>
          <w:ilvl w:val="1"/>
          <w:numId w:val="11"/>
        </w:numPr>
        <w:spacing w:line="480" w:lineRule="auto"/>
        <w:rPr>
          <w:rFonts w:ascii="Arial" w:hAnsi="Arial" w:cs="Arial"/>
        </w:rPr>
      </w:pPr>
      <w:bookmarkStart w:id="35" w:name="_Toc72189387"/>
      <w:r w:rsidRPr="00312389">
        <w:rPr>
          <w:rFonts w:ascii="Arial" w:hAnsi="Arial" w:cs="Arial"/>
        </w:rPr>
        <w:t>Limitations and Potential Challenges</w:t>
      </w:r>
      <w:bookmarkEnd w:id="35"/>
      <w:r w:rsidRPr="00312389">
        <w:rPr>
          <w:rFonts w:ascii="Arial" w:hAnsi="Arial" w:cs="Arial"/>
        </w:rPr>
        <w:t xml:space="preserve"> </w:t>
      </w:r>
    </w:p>
    <w:p w14:paraId="6D37324F" w14:textId="77777777" w:rsidR="00930821" w:rsidRPr="00312389" w:rsidRDefault="001E19D0" w:rsidP="007C42C3">
      <w:pPr>
        <w:spacing w:line="480" w:lineRule="auto"/>
        <w:ind w:firstLine="576"/>
        <w:jc w:val="both"/>
        <w:rPr>
          <w:rFonts w:ascii="Arial" w:hAnsi="Arial" w:cs="Arial"/>
          <w:szCs w:val="24"/>
        </w:rPr>
      </w:pPr>
      <w:r w:rsidRPr="00312389">
        <w:rPr>
          <w:rFonts w:ascii="Arial" w:hAnsi="Arial" w:cs="Arial"/>
          <w:szCs w:val="24"/>
        </w:rPr>
        <w:t>There are limitations to this exploratory study, considering the context of implementable cyber policy. The outcomes could fail the test of generalisability to the broader research community: although the secondary data mostly relates to the UK’s SME Aviation. Indeed, the results of this study could appeal to other different SME industrial sectors. In preparing decision-makers for ITG and the adoption of scaling approach to doable cyber policy, the study of a different SME may not inherently provide the same result.</w:t>
      </w:r>
    </w:p>
    <w:p w14:paraId="3D02B971" w14:textId="77777777" w:rsidR="00C203EE" w:rsidRDefault="001E19D0" w:rsidP="007C42C3">
      <w:pPr>
        <w:spacing w:line="480" w:lineRule="auto"/>
        <w:ind w:firstLine="576"/>
        <w:jc w:val="both"/>
        <w:rPr>
          <w:rFonts w:ascii="Arial" w:hAnsi="Arial" w:cs="Arial"/>
          <w:szCs w:val="24"/>
        </w:rPr>
      </w:pPr>
      <w:r w:rsidRPr="00312389">
        <w:rPr>
          <w:rFonts w:ascii="Arial" w:hAnsi="Arial" w:cs="Arial"/>
          <w:szCs w:val="24"/>
        </w:rPr>
        <w:t xml:space="preserve">With the use of a case study research, generalisability is usually unachievable (Silverman, 2016; Siebert, 2017).  The researcher appeals to the concept of </w:t>
      </w:r>
      <w:r w:rsidRPr="00312389">
        <w:rPr>
          <w:rFonts w:ascii="Arial" w:hAnsi="Arial" w:cs="Arial"/>
          <w:szCs w:val="24"/>
        </w:rPr>
        <w:lastRenderedPageBreak/>
        <w:t>relatability rather than generalisability conceiving the notion that incremental generalisability is doable over a period. Particularly with more empirical research conducted as well as to question the validity that centres on case study research.  As such, this research sacrificing instant generalisability for an in-depth exploratory study.</w:t>
      </w:r>
    </w:p>
    <w:p w14:paraId="467E2077" w14:textId="77777777" w:rsidR="007C42C3" w:rsidRDefault="001E6A87" w:rsidP="007C42C3">
      <w:pPr>
        <w:spacing w:line="480" w:lineRule="auto"/>
        <w:ind w:firstLine="576"/>
        <w:jc w:val="both"/>
        <w:rPr>
          <w:rFonts w:ascii="Arial" w:hAnsi="Arial" w:cs="Arial"/>
          <w:color w:val="000000"/>
          <w:szCs w:val="24"/>
        </w:rPr>
      </w:pPr>
      <w:r w:rsidRPr="00C203EE">
        <w:rPr>
          <w:rFonts w:ascii="Arial" w:hAnsi="Arial" w:cs="Arial"/>
          <w:color w:val="000000"/>
          <w:szCs w:val="24"/>
        </w:rPr>
        <w:t xml:space="preserve">The issue of reliability could suffice with the use of this strategy, especially when a survey is the means of data collection in exploratory secondary research. This study met the test of reliability by justifying the appropriateness of the research strategy, data collection techniques and the framework for data reanalysis. Transcription provides additional evidence of security as it fulfils the test of </w:t>
      </w:r>
      <w:proofErr w:type="spellStart"/>
      <w:r w:rsidRPr="00C203EE">
        <w:rPr>
          <w:rFonts w:ascii="Arial" w:hAnsi="Arial" w:cs="Arial"/>
          <w:color w:val="000000"/>
          <w:szCs w:val="24"/>
        </w:rPr>
        <w:t>anonymisation</w:t>
      </w:r>
      <w:proofErr w:type="spellEnd"/>
      <w:r w:rsidRPr="00C203EE">
        <w:rPr>
          <w:rFonts w:ascii="Arial" w:hAnsi="Arial" w:cs="Arial"/>
          <w:color w:val="000000"/>
          <w:szCs w:val="24"/>
        </w:rPr>
        <w:t xml:space="preserve"> if it existed at the time of data collection (Johnston, 2017).</w:t>
      </w:r>
      <w:r w:rsidR="007C42C3">
        <w:rPr>
          <w:rFonts w:ascii="Arial" w:hAnsi="Arial" w:cs="Arial"/>
          <w:color w:val="000000"/>
          <w:szCs w:val="24"/>
        </w:rPr>
        <w:t xml:space="preserve"> </w:t>
      </w:r>
    </w:p>
    <w:p w14:paraId="020803EF" w14:textId="77777777" w:rsidR="007C42C3" w:rsidRDefault="001E6A87" w:rsidP="007C42C3">
      <w:pPr>
        <w:spacing w:line="480" w:lineRule="auto"/>
        <w:ind w:firstLine="576"/>
        <w:jc w:val="both"/>
        <w:rPr>
          <w:rFonts w:ascii="Arial" w:hAnsi="Arial" w:cs="Arial"/>
          <w:color w:val="000000"/>
          <w:szCs w:val="24"/>
        </w:rPr>
      </w:pPr>
      <w:r w:rsidRPr="00C203EE">
        <w:rPr>
          <w:rFonts w:ascii="Arial" w:hAnsi="Arial" w:cs="Arial"/>
          <w:color w:val="000000"/>
          <w:szCs w:val="24"/>
        </w:rPr>
        <w:t>In this study, the existing data analysed to handle objectives 3 and 5, that are critical to this research. Indeed, it saves lots of time, money and other resources as the data are from an extensive sample survey to ensure quality and representativeness of the population. The secondary data and the corresponding analysis help to achieve conciseness. Additionally, they help to avoid repetition of research and wastage of resources by a detailed exploration of existing research data. With minimal resources, scope and timing, this remains a valid approach. There are no ethical problems associated with the data collection as detailed earlier. The researcher declared in the proposal that there exists no conflict of interest.</w:t>
      </w:r>
      <w:r w:rsidR="007C42C3">
        <w:rPr>
          <w:rFonts w:ascii="Arial" w:hAnsi="Arial" w:cs="Arial"/>
          <w:color w:val="000000"/>
          <w:szCs w:val="24"/>
        </w:rPr>
        <w:t xml:space="preserve"> </w:t>
      </w:r>
    </w:p>
    <w:p w14:paraId="35DF06FB" w14:textId="65D39BAC" w:rsidR="00930821" w:rsidRDefault="001E19D0" w:rsidP="007C42C3">
      <w:pPr>
        <w:spacing w:line="480" w:lineRule="auto"/>
        <w:ind w:firstLine="576"/>
        <w:jc w:val="both"/>
        <w:rPr>
          <w:rFonts w:ascii="Arial" w:hAnsi="Arial" w:cs="Arial"/>
          <w:szCs w:val="24"/>
        </w:rPr>
      </w:pPr>
      <w:r w:rsidRPr="00312389">
        <w:rPr>
          <w:rFonts w:ascii="Arial" w:hAnsi="Arial" w:cs="Arial"/>
          <w:szCs w:val="24"/>
        </w:rPr>
        <w:t>Indeed, this chapter discussed the rationale and functional elements of the research strategy adopted in this work. Further, its highlighted limitations of the study and underscored the framework to minimise potential challenges. The next chapter will centre on the critical discussion and analysis of the results of this study.</w:t>
      </w:r>
    </w:p>
    <w:p w14:paraId="2893979F" w14:textId="1C952C89" w:rsidR="008D467E" w:rsidRPr="00312389" w:rsidRDefault="008D467E" w:rsidP="00D40EBB">
      <w:pPr>
        <w:pStyle w:val="Heading1"/>
        <w:spacing w:line="480" w:lineRule="auto"/>
        <w:rPr>
          <w:rFonts w:ascii="Arial" w:hAnsi="Arial" w:cs="Arial"/>
        </w:rPr>
      </w:pPr>
      <w:bookmarkStart w:id="36" w:name="_Toc72189388"/>
      <w:r w:rsidRPr="00312389">
        <w:rPr>
          <w:rFonts w:ascii="Arial" w:hAnsi="Arial" w:cs="Arial"/>
        </w:rPr>
        <w:lastRenderedPageBreak/>
        <w:t xml:space="preserve">Study Findings: </w:t>
      </w:r>
      <w:r w:rsidR="00796CB3" w:rsidRPr="00312389">
        <w:rPr>
          <w:rFonts w:ascii="Arial" w:hAnsi="Arial" w:cs="Arial"/>
        </w:rPr>
        <w:t>Description, Analysis and Synthesis</w:t>
      </w:r>
      <w:bookmarkEnd w:id="36"/>
    </w:p>
    <w:p w14:paraId="244BD6CB" w14:textId="1611BDD3" w:rsidR="008D467E" w:rsidRPr="00312389" w:rsidRDefault="008D467E" w:rsidP="007C42C3">
      <w:pPr>
        <w:spacing w:line="480" w:lineRule="auto"/>
        <w:ind w:firstLine="432"/>
        <w:jc w:val="both"/>
        <w:rPr>
          <w:rFonts w:ascii="Arial" w:hAnsi="Arial" w:cs="Arial"/>
          <w:szCs w:val="24"/>
        </w:rPr>
      </w:pPr>
      <w:r w:rsidRPr="00312389">
        <w:rPr>
          <w:rFonts w:ascii="Arial" w:hAnsi="Arial" w:cs="Arial"/>
          <w:szCs w:val="24"/>
        </w:rPr>
        <w:t xml:space="preserve">Based on the exploratory study described in Chapter 3 - Research methods, this chapter sets out to describe the secondary qualitative data in use, present the outcome of the application of PCA and LA to reanalyse the data and discuss the results, in comparison with the evidence from the review of the literature. In </w:t>
      </w:r>
      <w:r w:rsidR="006A4055">
        <w:rPr>
          <w:rFonts w:ascii="Arial" w:hAnsi="Arial" w:cs="Arial"/>
          <w:szCs w:val="24"/>
        </w:rPr>
        <w:t>July</w:t>
      </w:r>
      <w:r w:rsidRPr="00312389">
        <w:rPr>
          <w:rFonts w:ascii="Arial" w:hAnsi="Arial" w:cs="Arial"/>
          <w:szCs w:val="24"/>
        </w:rPr>
        <w:t xml:space="preserve"> 20</w:t>
      </w:r>
      <w:r w:rsidR="00230522">
        <w:rPr>
          <w:rFonts w:ascii="Arial" w:hAnsi="Arial" w:cs="Arial"/>
          <w:szCs w:val="24"/>
        </w:rPr>
        <w:t>20</w:t>
      </w:r>
      <w:r w:rsidRPr="00312389">
        <w:rPr>
          <w:rFonts w:ascii="Arial" w:hAnsi="Arial" w:cs="Arial"/>
          <w:szCs w:val="24"/>
        </w:rPr>
        <w:t xml:space="preserve">, the futurelearn.com hosted an online study organised by the Open University. The academic programme centres on cybersecurity for SMEs with 2008 cybersecurity policy professionals in attendance. The attendees were UK’s SME decision-makers that cut across Aviation, Education and Training, Agriculture, MOD. Out of the total attendees, 30% were UK’s SME Aviation decision-makers. The participants completed a short survey of six questions powered by </w:t>
      </w:r>
      <w:proofErr w:type="spellStart"/>
      <w:r w:rsidRPr="00312389">
        <w:rPr>
          <w:rFonts w:ascii="Arial" w:hAnsi="Arial" w:cs="Arial"/>
          <w:szCs w:val="24"/>
        </w:rPr>
        <w:t>Typeform</w:t>
      </w:r>
      <w:proofErr w:type="spellEnd"/>
      <w:r w:rsidRPr="00312389">
        <w:rPr>
          <w:rFonts w:ascii="Arial" w:hAnsi="Arial" w:cs="Arial"/>
          <w:szCs w:val="24"/>
        </w:rPr>
        <w:t xml:space="preserve"> to rate security tools and procedures within their organisations. Table 3.1 shows the researcher’s transcription of the data captured and the outcome of how the participant responded to the survey.</w:t>
      </w:r>
    </w:p>
    <w:p w14:paraId="3E8F8CA1" w14:textId="0938BAFB" w:rsidR="00796CB3" w:rsidRPr="00312389" w:rsidRDefault="00796CB3" w:rsidP="00D40EBB">
      <w:pPr>
        <w:pStyle w:val="Heading2"/>
        <w:spacing w:line="480" w:lineRule="auto"/>
        <w:rPr>
          <w:rFonts w:ascii="Arial" w:hAnsi="Arial" w:cs="Arial"/>
        </w:rPr>
      </w:pPr>
      <w:bookmarkStart w:id="37" w:name="_Toc72189389"/>
      <w:r w:rsidRPr="00312389">
        <w:rPr>
          <w:rFonts w:ascii="Arial" w:hAnsi="Arial" w:cs="Arial"/>
        </w:rPr>
        <w:t>Description of the Result obtained from the Primary Data</w:t>
      </w:r>
      <w:bookmarkEnd w:id="37"/>
      <w:r w:rsidRPr="00312389">
        <w:rPr>
          <w:rFonts w:ascii="Arial" w:hAnsi="Arial" w:cs="Arial"/>
        </w:rPr>
        <w:t xml:space="preserve"> </w:t>
      </w:r>
    </w:p>
    <w:p w14:paraId="0BB3CDE7" w14:textId="4C71D070" w:rsidR="008D467E" w:rsidRPr="00312389" w:rsidRDefault="00DC2E5F" w:rsidP="007C42C3">
      <w:pPr>
        <w:shd w:val="clear" w:color="auto" w:fill="FFFFFF"/>
        <w:spacing w:after="0" w:line="480" w:lineRule="auto"/>
        <w:ind w:firstLine="576"/>
        <w:jc w:val="both"/>
        <w:textAlignment w:val="baseline"/>
        <w:rPr>
          <w:rFonts w:ascii="Arial" w:hAnsi="Arial" w:cs="Arial"/>
          <w:szCs w:val="24"/>
        </w:rPr>
      </w:pPr>
      <w:r w:rsidRPr="00312389">
        <w:rPr>
          <w:rFonts w:ascii="Arial" w:hAnsi="Arial" w:cs="Arial"/>
          <w:szCs w:val="24"/>
        </w:rPr>
        <w:t>Figure 4.0</w:t>
      </w:r>
      <w:r w:rsidR="008D467E" w:rsidRPr="00312389">
        <w:rPr>
          <w:rFonts w:ascii="Arial" w:hAnsi="Arial" w:cs="Arial"/>
          <w:szCs w:val="24"/>
        </w:rPr>
        <w:t xml:space="preserve"> shows the data. The result obtained shows that most UK’s SME Aviation organisations have critical systems with sensitive information. They mostly relied on antivirus, firewall, </w:t>
      </w:r>
      <w:r w:rsidR="00C80FE0" w:rsidRPr="00312389">
        <w:rPr>
          <w:rFonts w:ascii="Arial" w:hAnsi="Arial" w:cs="Arial"/>
          <w:szCs w:val="24"/>
        </w:rPr>
        <w:t>backups,</w:t>
      </w:r>
      <w:r w:rsidR="008D467E" w:rsidRPr="00312389">
        <w:rPr>
          <w:rFonts w:ascii="Arial" w:hAnsi="Arial" w:cs="Arial"/>
          <w:szCs w:val="24"/>
        </w:rPr>
        <w:t xml:space="preserve"> and encryption to safeguard their systems against cyber-attacks. Also, majority of the respondents asserted that their organisations have a Cyber Security policy in place. However, a considerable </w:t>
      </w:r>
      <w:r w:rsidR="008D467E" w:rsidRPr="00312389">
        <w:rPr>
          <w:rFonts w:ascii="Arial" w:hAnsi="Arial" w:cs="Arial"/>
          <w:szCs w:val="24"/>
        </w:rPr>
        <w:lastRenderedPageBreak/>
        <w:t>number had never experienced a cyber-attack or aware of any systems breaches or compromise. Most decision-makers in the sector have had training, education or awareness campaigns. They would mainly rely on an internal investigation as a first-choice therapeutic approach to prioritise and fix vulnerabilities in a case of any cyberattack.</w:t>
      </w:r>
    </w:p>
    <w:p w14:paraId="2FE4140B" w14:textId="058B4AF2" w:rsidR="00087BE5" w:rsidRPr="00312389" w:rsidRDefault="00087BE5" w:rsidP="00D40EBB">
      <w:pPr>
        <w:pStyle w:val="Heading3"/>
        <w:spacing w:line="480" w:lineRule="auto"/>
        <w:rPr>
          <w:rFonts w:ascii="Arial" w:hAnsi="Arial" w:cs="Arial"/>
        </w:rPr>
      </w:pPr>
      <w:r w:rsidRPr="00312389">
        <w:rPr>
          <w:rFonts w:ascii="Arial" w:hAnsi="Arial" w:cs="Arial"/>
        </w:rPr>
        <w:t>Description of the Secondary Data</w:t>
      </w:r>
    </w:p>
    <w:p w14:paraId="624A7CB3" w14:textId="3E8F4E1A" w:rsidR="008D467E" w:rsidRPr="00312389" w:rsidRDefault="008D467E" w:rsidP="009A48BB">
      <w:pPr>
        <w:spacing w:line="480" w:lineRule="auto"/>
        <w:ind w:firstLine="576"/>
        <w:jc w:val="both"/>
        <w:rPr>
          <w:rFonts w:ascii="Arial" w:hAnsi="Arial" w:cs="Arial"/>
          <w:szCs w:val="24"/>
        </w:rPr>
      </w:pPr>
      <w:r w:rsidRPr="00312389">
        <w:rPr>
          <w:rFonts w:ascii="Arial" w:hAnsi="Arial" w:cs="Arial"/>
          <w:szCs w:val="24"/>
        </w:rPr>
        <w:t>Following the understanding from section 4.1, most UK’s SME Aviation practitioners have strategic security decision making responsibilities. The data represents the options available to them. However, it is crucial to recognise that some participants may have pretended about their organisation’s security status, so they do not seem less competent. Also, some organisations do not like to admit they have been victims of cyberattacks even though it is compulsory to report all cyberattacks under the GDPR. The questions (</w:t>
      </w:r>
      <w:r w:rsidR="00DC2E5F" w:rsidRPr="00312389">
        <w:rPr>
          <w:rFonts w:ascii="Arial" w:hAnsi="Arial" w:cs="Arial"/>
          <w:szCs w:val="24"/>
        </w:rPr>
        <w:t>Figure 4.0</w:t>
      </w:r>
      <w:r w:rsidRPr="00312389">
        <w:rPr>
          <w:rFonts w:ascii="Arial" w:hAnsi="Arial" w:cs="Arial"/>
          <w:szCs w:val="24"/>
        </w:rPr>
        <w:t xml:space="preserve">) could present a diverse meaning to various decision-makers understanding of sensitive information and associated vulnerabilities; thus, the need for further description and reanalysis of the data.  </w:t>
      </w:r>
    </w:p>
    <w:p w14:paraId="5E9EC288" w14:textId="6AB72663" w:rsidR="008D467E" w:rsidRPr="00312389" w:rsidRDefault="00087BE5" w:rsidP="00D40EBB">
      <w:pPr>
        <w:pStyle w:val="Heading2"/>
        <w:spacing w:line="480" w:lineRule="auto"/>
        <w:rPr>
          <w:rFonts w:ascii="Arial" w:hAnsi="Arial" w:cs="Arial"/>
        </w:rPr>
      </w:pPr>
      <w:bookmarkStart w:id="38" w:name="_Toc72189390"/>
      <w:r w:rsidRPr="00312389">
        <w:rPr>
          <w:rFonts w:ascii="Arial" w:hAnsi="Arial" w:cs="Arial"/>
        </w:rPr>
        <w:t>The relationships identified from the Dataset</w:t>
      </w:r>
      <w:bookmarkEnd w:id="38"/>
      <w:r w:rsidRPr="00312389">
        <w:rPr>
          <w:rFonts w:ascii="Arial" w:hAnsi="Arial" w:cs="Arial"/>
        </w:rPr>
        <w:t xml:space="preserve"> </w:t>
      </w:r>
    </w:p>
    <w:p w14:paraId="0B99BDA4" w14:textId="77777777" w:rsidR="008D467E" w:rsidRPr="00312389" w:rsidRDefault="008D467E" w:rsidP="009A48BB">
      <w:pPr>
        <w:spacing w:line="480" w:lineRule="auto"/>
        <w:ind w:firstLine="576"/>
        <w:jc w:val="both"/>
        <w:rPr>
          <w:rFonts w:ascii="Arial" w:hAnsi="Arial" w:cs="Arial"/>
          <w:szCs w:val="24"/>
        </w:rPr>
      </w:pPr>
      <w:r w:rsidRPr="00312389">
        <w:rPr>
          <w:rFonts w:ascii="Arial" w:hAnsi="Arial" w:cs="Arial"/>
          <w:szCs w:val="24"/>
        </w:rPr>
        <w:t xml:space="preserve">Question 1 (How many critical systems with sensitive information exist in your workplace?) </w:t>
      </w:r>
    </w:p>
    <w:p w14:paraId="240CF513" w14:textId="77777777" w:rsidR="008D467E" w:rsidRPr="00312389" w:rsidRDefault="008D467E" w:rsidP="009A48BB">
      <w:pPr>
        <w:spacing w:line="480" w:lineRule="auto"/>
        <w:ind w:firstLine="576"/>
        <w:jc w:val="both"/>
        <w:rPr>
          <w:rFonts w:ascii="Arial" w:hAnsi="Arial" w:cs="Arial"/>
          <w:szCs w:val="24"/>
        </w:rPr>
      </w:pPr>
      <w:r w:rsidRPr="00312389">
        <w:rPr>
          <w:rFonts w:ascii="Arial" w:hAnsi="Arial" w:cs="Arial"/>
          <w:szCs w:val="24"/>
        </w:rPr>
        <w:t xml:space="preserve">Figure 4.1 shows a scatter plot (x, y) of the answers given, where x are the options available to the decision-makers and y the percentage of respondents. With the associated trend line indicating a relationship between those who answered 1-4+ critical responses, it shows the more critical systems; the more participants are </w:t>
      </w:r>
      <w:r w:rsidRPr="00312389">
        <w:rPr>
          <w:rFonts w:ascii="Arial" w:hAnsi="Arial" w:cs="Arial"/>
          <w:szCs w:val="24"/>
        </w:rPr>
        <w:lastRenderedPageBreak/>
        <w:t xml:space="preserve">likely to support this. So, as the number of essential systems increase, does the number of participants. Such is also backed up as the correlation for this is 0.2641. </w:t>
      </w:r>
    </w:p>
    <w:p w14:paraId="4B5EAC2C" w14:textId="77777777" w:rsidR="00087BE5" w:rsidRPr="00312389" w:rsidRDefault="00087BE5" w:rsidP="00D40EBB">
      <w:pPr>
        <w:spacing w:line="480" w:lineRule="auto"/>
        <w:jc w:val="both"/>
        <w:rPr>
          <w:rFonts w:ascii="Arial" w:hAnsi="Arial" w:cs="Arial"/>
          <w:szCs w:val="24"/>
        </w:rPr>
      </w:pPr>
      <w:r w:rsidRPr="00312389">
        <w:rPr>
          <w:rFonts w:ascii="Arial" w:eastAsia="Calibri" w:hAnsi="Arial" w:cs="Arial"/>
          <w:noProof/>
          <w:lang w:eastAsia="en-GB"/>
        </w:rPr>
        <w:drawing>
          <wp:inline distT="0" distB="0" distL="0" distR="0" wp14:anchorId="668D3830" wp14:editId="2FDF8164">
            <wp:extent cx="5486400" cy="31259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75"/>
                    <a:stretch/>
                  </pic:blipFill>
                  <pic:spPr bwMode="auto">
                    <a:xfrm>
                      <a:off x="0" y="0"/>
                      <a:ext cx="5494376" cy="3130517"/>
                    </a:xfrm>
                    <a:prstGeom prst="rect">
                      <a:avLst/>
                    </a:prstGeom>
                    <a:noFill/>
                    <a:ln>
                      <a:noFill/>
                    </a:ln>
                    <a:extLst>
                      <a:ext uri="{53640926-AAD7-44D8-BBD7-CCE9431645EC}">
                        <a14:shadowObscured xmlns:a14="http://schemas.microsoft.com/office/drawing/2010/main"/>
                      </a:ext>
                    </a:extLst>
                  </pic:spPr>
                </pic:pic>
              </a:graphicData>
            </a:graphic>
          </wp:inline>
        </w:drawing>
      </w:r>
    </w:p>
    <w:p w14:paraId="6E17148A" w14:textId="09FFF5B2" w:rsidR="008D467E" w:rsidRPr="00312389" w:rsidRDefault="008D467E" w:rsidP="009A48BB">
      <w:pPr>
        <w:spacing w:line="480" w:lineRule="auto"/>
        <w:ind w:firstLine="720"/>
        <w:jc w:val="both"/>
        <w:rPr>
          <w:rFonts w:ascii="Arial" w:hAnsi="Arial" w:cs="Arial"/>
          <w:szCs w:val="24"/>
        </w:rPr>
      </w:pPr>
      <w:r w:rsidRPr="00312389">
        <w:rPr>
          <w:rFonts w:ascii="Arial" w:hAnsi="Arial" w:cs="Arial"/>
          <w:szCs w:val="24"/>
        </w:rPr>
        <w:t xml:space="preserve">Figure 4.2 shows the representation of data for question 2. Though question 2 involves nominal data, it evident that the correlation is favourable for those who answered 4+ (42%) and not experiencing a cyber-attack (64%) and therefore a negative association when responding no (41%). Drawing this type of relationship will be like other nominal type data in this survey. However, due to the nature of this data, it is unreliable nor significant for one to draw any relationship as you are unable to pinpoint characteristics with the participants who selected yes or no. </w:t>
      </w:r>
    </w:p>
    <w:p w14:paraId="6D7A7002" w14:textId="77777777" w:rsidR="00181DBE" w:rsidRDefault="00087BE5" w:rsidP="00181DBE">
      <w:pPr>
        <w:spacing w:line="480" w:lineRule="auto"/>
        <w:jc w:val="both"/>
        <w:rPr>
          <w:rFonts w:ascii="Arial" w:hAnsi="Arial" w:cs="Arial"/>
          <w:szCs w:val="24"/>
        </w:rPr>
      </w:pPr>
      <w:r w:rsidRPr="00312389">
        <w:rPr>
          <w:rFonts w:ascii="Arial" w:eastAsia="Calibri" w:hAnsi="Arial" w:cs="Arial"/>
          <w:noProof/>
          <w:lang w:eastAsia="en-GB"/>
        </w:rPr>
        <w:lastRenderedPageBreak/>
        <w:drawing>
          <wp:inline distT="0" distB="0" distL="0" distR="0" wp14:anchorId="278D09EB" wp14:editId="614D818C">
            <wp:extent cx="5549900" cy="31047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3811"/>
                    <a:stretch/>
                  </pic:blipFill>
                  <pic:spPr bwMode="auto">
                    <a:xfrm>
                      <a:off x="0" y="0"/>
                      <a:ext cx="5557333" cy="3108865"/>
                    </a:xfrm>
                    <a:prstGeom prst="rect">
                      <a:avLst/>
                    </a:prstGeom>
                    <a:noFill/>
                    <a:ln>
                      <a:noFill/>
                    </a:ln>
                    <a:extLst>
                      <a:ext uri="{53640926-AAD7-44D8-BBD7-CCE9431645EC}">
                        <a14:shadowObscured xmlns:a14="http://schemas.microsoft.com/office/drawing/2010/main"/>
                      </a:ext>
                    </a:extLst>
                  </pic:spPr>
                </pic:pic>
              </a:graphicData>
            </a:graphic>
          </wp:inline>
        </w:drawing>
      </w:r>
    </w:p>
    <w:p w14:paraId="580E724B" w14:textId="2C0596E4" w:rsidR="00087BE5" w:rsidRPr="00312389" w:rsidRDefault="00087BE5" w:rsidP="00181DBE">
      <w:pPr>
        <w:spacing w:line="480" w:lineRule="auto"/>
        <w:ind w:firstLine="720"/>
        <w:jc w:val="both"/>
        <w:rPr>
          <w:rFonts w:ascii="Arial" w:hAnsi="Arial" w:cs="Arial"/>
          <w:szCs w:val="24"/>
        </w:rPr>
      </w:pPr>
      <w:r w:rsidRPr="00312389">
        <w:rPr>
          <w:rFonts w:ascii="Arial" w:hAnsi="Arial" w:cs="Arial"/>
          <w:szCs w:val="24"/>
        </w:rPr>
        <w:t>Figure 4.3 shows the representation of the data gathered in question 3. There would be a strong relationship here as 78% of all participants that responded selected Investigate Internally (II). Such an answer is resounding, compared with the others which collectively correlated to 21% of participants. However, the evidence for a stable relationship, the correlation between question 3 and question 1 was 0.1505, demonstrating the proof of positive correlation. Still, it shows that it is a challenge to determine from just this set of data whether it impacts on decision-makers favouring question 1 is enough to cause a positive relationship.</w:t>
      </w:r>
    </w:p>
    <w:p w14:paraId="78A08B5F" w14:textId="77777777" w:rsidR="00181DBE" w:rsidRDefault="00BA3B3E" w:rsidP="00181DBE">
      <w:pPr>
        <w:spacing w:line="480" w:lineRule="auto"/>
        <w:jc w:val="both"/>
        <w:rPr>
          <w:rFonts w:ascii="Arial" w:hAnsi="Arial" w:cs="Arial"/>
          <w:color w:val="000000"/>
          <w:szCs w:val="24"/>
        </w:rPr>
      </w:pPr>
      <w:r w:rsidRPr="00312389">
        <w:rPr>
          <w:rFonts w:ascii="Arial" w:hAnsi="Arial" w:cs="Arial"/>
          <w:noProof/>
          <w:lang w:eastAsia="en-GB"/>
        </w:rPr>
        <w:lastRenderedPageBreak/>
        <w:drawing>
          <wp:inline distT="0" distB="0" distL="0" distR="0" wp14:anchorId="3CD45047" wp14:editId="473429A1">
            <wp:extent cx="5549265" cy="31897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2327" cy="3197275"/>
                    </a:xfrm>
                    <a:prstGeom prst="rect">
                      <a:avLst/>
                    </a:prstGeom>
                    <a:noFill/>
                    <a:ln>
                      <a:noFill/>
                    </a:ln>
                  </pic:spPr>
                </pic:pic>
              </a:graphicData>
            </a:graphic>
          </wp:inline>
        </w:drawing>
      </w:r>
    </w:p>
    <w:p w14:paraId="63BF167B" w14:textId="77777777" w:rsidR="00181DBE" w:rsidRDefault="00651F20" w:rsidP="00181DBE">
      <w:pPr>
        <w:spacing w:line="480" w:lineRule="auto"/>
        <w:ind w:firstLine="720"/>
        <w:jc w:val="both"/>
        <w:rPr>
          <w:rFonts w:ascii="Arial" w:hAnsi="Arial" w:cs="Arial"/>
          <w:color w:val="000000"/>
          <w:szCs w:val="24"/>
        </w:rPr>
      </w:pPr>
      <w:r w:rsidRPr="00B75A85">
        <w:rPr>
          <w:rFonts w:ascii="Arial" w:hAnsi="Arial" w:cs="Arial"/>
          <w:color w:val="000000"/>
          <w:szCs w:val="24"/>
        </w:rPr>
        <w:t>Nonetheless, questions 1 and 4 are similar as it relates to security tools available to the participants. Rating AV, FW and BU show strong relationships with issue one, whereas EN shows a weak correlation with only 55% of participants selecting this. Possible connections exist between questions 5 and 6 when compared with 1. It shows a moderate positive relationship with participants that chose yes (58%) as their answer against question 1, and this would be evident as most participants would have a cyber policy in place and a moderately negative correlation with participants that selected no (41%).</w:t>
      </w:r>
    </w:p>
    <w:p w14:paraId="5A7BB58D" w14:textId="23A3F372" w:rsidR="00651F20" w:rsidRPr="00B75A85" w:rsidRDefault="00651F20" w:rsidP="00181DBE">
      <w:pPr>
        <w:spacing w:line="480" w:lineRule="auto"/>
        <w:ind w:firstLine="720"/>
        <w:jc w:val="both"/>
        <w:rPr>
          <w:rFonts w:ascii="Arial" w:hAnsi="Arial" w:cs="Arial"/>
          <w:szCs w:val="24"/>
        </w:rPr>
      </w:pPr>
      <w:r w:rsidRPr="00B75A85">
        <w:rPr>
          <w:rFonts w:ascii="Arial" w:hAnsi="Arial" w:cs="Arial"/>
          <w:color w:val="000000"/>
          <w:szCs w:val="24"/>
        </w:rPr>
        <w:t>Similar relationships as related to question 6 also, as those answering yes (55%) and a moderate positive correlation with those selecting no (44%). Investigate internally seems like the primary way people would handle a cybersecurity attack so one could say the relationship between questions 5 and 6 are insignificant. Though, for both items, there seems to be a moderate positive relationship with those who selected yes (58% and 55%) respectively.</w:t>
      </w:r>
    </w:p>
    <w:p w14:paraId="3A7AC29B" w14:textId="35796773" w:rsidR="008D467E" w:rsidRPr="00B75A85" w:rsidRDefault="008D467E" w:rsidP="00181DBE">
      <w:pPr>
        <w:spacing w:line="480" w:lineRule="auto"/>
        <w:ind w:firstLine="720"/>
        <w:jc w:val="both"/>
        <w:rPr>
          <w:rFonts w:ascii="Arial" w:hAnsi="Arial" w:cs="Arial"/>
          <w:szCs w:val="24"/>
        </w:rPr>
      </w:pPr>
      <w:r w:rsidRPr="00B75A85">
        <w:rPr>
          <w:rFonts w:ascii="Arial" w:hAnsi="Arial" w:cs="Arial"/>
          <w:szCs w:val="24"/>
        </w:rPr>
        <w:lastRenderedPageBreak/>
        <w:t xml:space="preserve">Figure 4.4 shows the representation of tools/devices/methods used in the workplace amongst the participants. The progression is evidence of relationships that show how unfavourable encryption is as a tool in SME's workplace, as just over 55% selected this. The identification of a relationship between these two questions is unusual, as it allows one to find out whether specific tools and devices used for security would have a relationship with how one would handle a cyber-attack in their organisation. Those who answered (li) the mode answer at 78% of respondents showed the most substantial relationship with those who selected AV, FW and BU as devices they had in the workplace, Encryption (EN) seemed to show a moderate and low involvement. </w:t>
      </w:r>
    </w:p>
    <w:p w14:paraId="33A6DCA4" w14:textId="3B93D2E4" w:rsidR="00BA3B3E" w:rsidRDefault="00BA3B3E" w:rsidP="00D40EBB">
      <w:pPr>
        <w:spacing w:line="480" w:lineRule="auto"/>
        <w:jc w:val="both"/>
        <w:rPr>
          <w:rFonts w:ascii="Arial" w:hAnsi="Arial" w:cs="Arial"/>
          <w:szCs w:val="24"/>
        </w:rPr>
      </w:pPr>
      <w:r w:rsidRPr="00312389">
        <w:rPr>
          <w:rFonts w:ascii="Arial" w:hAnsi="Arial" w:cs="Arial"/>
          <w:noProof/>
          <w:lang w:eastAsia="en-GB"/>
        </w:rPr>
        <w:drawing>
          <wp:inline distT="0" distB="0" distL="0" distR="0" wp14:anchorId="589F25C2" wp14:editId="33AE2A26">
            <wp:extent cx="5549900" cy="2690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2941" cy="2706052"/>
                    </a:xfrm>
                    <a:prstGeom prst="rect">
                      <a:avLst/>
                    </a:prstGeom>
                    <a:noFill/>
                    <a:ln>
                      <a:noFill/>
                    </a:ln>
                  </pic:spPr>
                </pic:pic>
              </a:graphicData>
            </a:graphic>
          </wp:inline>
        </w:drawing>
      </w:r>
    </w:p>
    <w:p w14:paraId="69D7D56D" w14:textId="77777777" w:rsidR="00AC5E9D" w:rsidRDefault="008D467E" w:rsidP="00AC5E9D">
      <w:pPr>
        <w:spacing w:line="480" w:lineRule="auto"/>
        <w:ind w:firstLine="720"/>
        <w:jc w:val="both"/>
        <w:rPr>
          <w:rFonts w:ascii="Arial" w:hAnsi="Arial" w:cs="Arial"/>
          <w:szCs w:val="24"/>
        </w:rPr>
      </w:pPr>
      <w:r w:rsidRPr="00312389">
        <w:rPr>
          <w:rFonts w:ascii="Arial" w:hAnsi="Arial" w:cs="Arial"/>
          <w:szCs w:val="24"/>
        </w:rPr>
        <w:t xml:space="preserve">When grouping the correlation between the data gathered in </w:t>
      </w:r>
      <w:r w:rsidR="00BA3B3E" w:rsidRPr="00312389">
        <w:rPr>
          <w:rFonts w:ascii="Arial" w:hAnsi="Arial" w:cs="Arial"/>
          <w:szCs w:val="24"/>
        </w:rPr>
        <w:t xml:space="preserve">questions </w:t>
      </w:r>
      <w:r w:rsidRPr="00312389">
        <w:rPr>
          <w:rFonts w:ascii="Arial" w:hAnsi="Arial" w:cs="Arial"/>
          <w:szCs w:val="24"/>
        </w:rPr>
        <w:t xml:space="preserve">3 and 4, the most dynamic relationship exists — the study of 0.578 also shows a positive correlation. Indeed, most participants who had chosen to investigate internally also decided to use AV, FW and BU in the workplace. One could infer that despite 41% of participants not having a cyber policy in their organisation and 44% of participants did not have training education or awareness campaigns on cybersecurity; they </w:t>
      </w:r>
      <w:r w:rsidRPr="00312389">
        <w:rPr>
          <w:rFonts w:ascii="Arial" w:hAnsi="Arial" w:cs="Arial"/>
          <w:szCs w:val="24"/>
        </w:rPr>
        <w:lastRenderedPageBreak/>
        <w:t xml:space="preserve">were still aware of the tools and devices used in their workplace. There was a moderate to a strong relationship with the tools AV, FW and BU and those who selected yes in question 5 (58%) and likewise in question 6 for those who also chosen yes (55%). </w:t>
      </w:r>
    </w:p>
    <w:p w14:paraId="1AFEA246" w14:textId="0DF42263" w:rsidR="008D467E" w:rsidRPr="00312389" w:rsidRDefault="008D467E" w:rsidP="00AC5E9D">
      <w:pPr>
        <w:spacing w:line="480" w:lineRule="auto"/>
        <w:ind w:firstLine="720"/>
        <w:jc w:val="both"/>
        <w:rPr>
          <w:rFonts w:ascii="Arial" w:hAnsi="Arial" w:cs="Arial"/>
          <w:szCs w:val="24"/>
        </w:rPr>
      </w:pPr>
      <w:r w:rsidRPr="00312389">
        <w:rPr>
          <w:rFonts w:ascii="Arial" w:hAnsi="Arial" w:cs="Arial"/>
          <w:szCs w:val="24"/>
        </w:rPr>
        <w:t xml:space="preserve">Figure 5a and 5b show the representation of the data collected in question 5 and 6, respectively. Clearly, they show an element of characterisation of the participants, while showing their education and awareness on cybersecurity and whether they have a policy in place. A further pattern of the results relates to security awareness and implementable cybersecurity strategy as a scaling mechanism. The majority did show that there could be strong relationships with having cybersecurity policy within an organisation and education regarding it. Question 5 and 6 are of a similar type, that lack any order between categories, as its nominal data, so a relationship is insignificant, as related to the principal component of ITG. Nonetheless, due to the binary type answers amongst the two questions, the relationship drawn would be non-existent or at least direct linkages between the issues. Therefore, as shown earlier, it is not a viable means of finding an actual factor or cause to the results that the participants have shown in the previous questions. </w:t>
      </w:r>
    </w:p>
    <w:p w14:paraId="35A41625" w14:textId="3DE86088" w:rsidR="008D467E" w:rsidRPr="00312389" w:rsidRDefault="00BA3B3E" w:rsidP="00D40EBB">
      <w:pPr>
        <w:spacing w:line="480" w:lineRule="auto"/>
        <w:jc w:val="both"/>
        <w:rPr>
          <w:rFonts w:ascii="Arial" w:hAnsi="Arial" w:cs="Arial"/>
          <w:b/>
          <w:bCs/>
          <w:szCs w:val="24"/>
        </w:rPr>
      </w:pPr>
      <w:r w:rsidRPr="00312389">
        <w:rPr>
          <w:rFonts w:ascii="Arial" w:hAnsi="Arial" w:cs="Arial"/>
          <w:noProof/>
          <w:lang w:eastAsia="en-GB"/>
        </w:rPr>
        <w:lastRenderedPageBreak/>
        <w:drawing>
          <wp:inline distT="0" distB="0" distL="0" distR="0" wp14:anchorId="16CC091E" wp14:editId="48526BC4">
            <wp:extent cx="5283835" cy="31897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821" b="48016"/>
                    <a:stretch/>
                  </pic:blipFill>
                  <pic:spPr bwMode="auto">
                    <a:xfrm>
                      <a:off x="0" y="0"/>
                      <a:ext cx="5309731" cy="3205400"/>
                    </a:xfrm>
                    <a:prstGeom prst="rect">
                      <a:avLst/>
                    </a:prstGeom>
                    <a:noFill/>
                    <a:ln>
                      <a:noFill/>
                    </a:ln>
                    <a:extLst>
                      <a:ext uri="{53640926-AAD7-44D8-BBD7-CCE9431645EC}">
                        <a14:shadowObscured xmlns:a14="http://schemas.microsoft.com/office/drawing/2010/main"/>
                      </a:ext>
                    </a:extLst>
                  </pic:spPr>
                </pic:pic>
              </a:graphicData>
            </a:graphic>
          </wp:inline>
        </w:drawing>
      </w:r>
    </w:p>
    <w:p w14:paraId="528C7B61" w14:textId="1AEA9D62" w:rsidR="00BA3B3E" w:rsidRPr="00312389" w:rsidRDefault="00BA3B3E" w:rsidP="00D40EBB">
      <w:pPr>
        <w:spacing w:line="480" w:lineRule="auto"/>
        <w:jc w:val="both"/>
        <w:rPr>
          <w:rFonts w:ascii="Arial" w:hAnsi="Arial" w:cs="Arial"/>
          <w:b/>
          <w:bCs/>
          <w:szCs w:val="24"/>
        </w:rPr>
      </w:pPr>
      <w:r w:rsidRPr="00312389">
        <w:rPr>
          <w:rFonts w:ascii="Arial" w:hAnsi="Arial" w:cs="Arial"/>
          <w:noProof/>
          <w:lang w:eastAsia="en-GB"/>
        </w:rPr>
        <w:drawing>
          <wp:inline distT="0" distB="0" distL="0" distR="0" wp14:anchorId="35A469D5" wp14:editId="1C56936A">
            <wp:extent cx="5348177" cy="2647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7780" r="12821" b="2578"/>
                    <a:stretch/>
                  </pic:blipFill>
                  <pic:spPr bwMode="auto">
                    <a:xfrm>
                      <a:off x="0" y="0"/>
                      <a:ext cx="5359756" cy="2653047"/>
                    </a:xfrm>
                    <a:prstGeom prst="rect">
                      <a:avLst/>
                    </a:prstGeom>
                    <a:noFill/>
                    <a:ln>
                      <a:noFill/>
                    </a:ln>
                    <a:extLst>
                      <a:ext uri="{53640926-AAD7-44D8-BBD7-CCE9431645EC}">
                        <a14:shadowObscured xmlns:a14="http://schemas.microsoft.com/office/drawing/2010/main"/>
                      </a:ext>
                    </a:extLst>
                  </pic:spPr>
                </pic:pic>
              </a:graphicData>
            </a:graphic>
          </wp:inline>
        </w:drawing>
      </w:r>
    </w:p>
    <w:p w14:paraId="5C08198B" w14:textId="70868621" w:rsidR="00BA3B3E" w:rsidRPr="00312389" w:rsidRDefault="00BA3B3E" w:rsidP="00D40EBB">
      <w:pPr>
        <w:pStyle w:val="Heading2"/>
        <w:spacing w:line="480" w:lineRule="auto"/>
        <w:rPr>
          <w:rFonts w:ascii="Arial" w:hAnsi="Arial" w:cs="Arial"/>
        </w:rPr>
      </w:pPr>
      <w:bookmarkStart w:id="39" w:name="_Toc72189391"/>
      <w:r w:rsidRPr="00312389">
        <w:rPr>
          <w:rFonts w:ascii="Arial" w:hAnsi="Arial" w:cs="Arial"/>
        </w:rPr>
        <w:t xml:space="preserve">Application of Principal Component Analysis </w:t>
      </w:r>
      <w:r w:rsidR="00526880" w:rsidRPr="00312389">
        <w:rPr>
          <w:rFonts w:ascii="Arial" w:hAnsi="Arial" w:cs="Arial"/>
        </w:rPr>
        <w:t>(PCA)</w:t>
      </w:r>
      <w:bookmarkEnd w:id="39"/>
      <w:r w:rsidRPr="00312389">
        <w:rPr>
          <w:rFonts w:ascii="Arial" w:hAnsi="Arial" w:cs="Arial"/>
        </w:rPr>
        <w:t xml:space="preserve"> </w:t>
      </w:r>
    </w:p>
    <w:p w14:paraId="04F7C24C" w14:textId="77777777" w:rsidR="007F31D8" w:rsidRDefault="008D467E" w:rsidP="007F31D8">
      <w:pPr>
        <w:spacing w:line="480" w:lineRule="auto"/>
        <w:ind w:firstLine="576"/>
        <w:jc w:val="both"/>
        <w:rPr>
          <w:rFonts w:ascii="Arial" w:hAnsi="Arial" w:cs="Arial"/>
          <w:szCs w:val="24"/>
        </w:rPr>
      </w:pPr>
      <w:r w:rsidRPr="00312389">
        <w:rPr>
          <w:rFonts w:ascii="Arial" w:hAnsi="Arial" w:cs="Arial"/>
          <w:szCs w:val="24"/>
        </w:rPr>
        <w:t xml:space="preserve">In capturing and distinguishing the relationship and dimensional pattern in the secondary qualitative data, PCA suffices to cluster related dataset but does not strictly depend on a probability model. It was considering the data were taken, which was identified using a cluster type sampling method. Of the participants that took part, a large proportion (64%) have never experienced a cyber-attack in their organisation citing impeccable internet security. However, a more alarming sign </w:t>
      </w:r>
      <w:r w:rsidRPr="00312389">
        <w:rPr>
          <w:rFonts w:ascii="Arial" w:hAnsi="Arial" w:cs="Arial"/>
          <w:szCs w:val="24"/>
        </w:rPr>
        <w:lastRenderedPageBreak/>
        <w:t>manifest as a massive 78% chose to ‘investigate internally’ when dealing with a cyber-attack as the first point of call, with a mere 1% ignoring the attack.</w:t>
      </w:r>
      <w:r w:rsidR="007F31D8">
        <w:rPr>
          <w:rFonts w:ascii="Arial" w:hAnsi="Arial" w:cs="Arial"/>
          <w:szCs w:val="24"/>
        </w:rPr>
        <w:t xml:space="preserve"> </w:t>
      </w:r>
    </w:p>
    <w:p w14:paraId="671067BC" w14:textId="50165CED" w:rsidR="00526880" w:rsidRPr="00312389" w:rsidRDefault="008D467E" w:rsidP="007F31D8">
      <w:pPr>
        <w:spacing w:line="480" w:lineRule="auto"/>
        <w:ind w:firstLine="576"/>
        <w:jc w:val="both"/>
        <w:rPr>
          <w:rFonts w:ascii="Arial" w:hAnsi="Arial" w:cs="Arial"/>
          <w:szCs w:val="24"/>
        </w:rPr>
      </w:pPr>
      <w:r w:rsidRPr="00312389">
        <w:rPr>
          <w:rFonts w:ascii="Arial" w:hAnsi="Arial" w:cs="Arial"/>
          <w:szCs w:val="24"/>
        </w:rPr>
        <w:t>Looking deeper into the data, it is evident relationships can be drawn, which could enable reasons behind why UK’s SME Aviation decision-makers and stakeholders may make decisions within their organisation. There are possible reasons for this:</w:t>
      </w:r>
    </w:p>
    <w:p w14:paraId="476F7FBC" w14:textId="6508DF98" w:rsidR="007F31D8" w:rsidRDefault="008D467E" w:rsidP="007F31D8">
      <w:pPr>
        <w:spacing w:line="480" w:lineRule="auto"/>
        <w:ind w:firstLine="576"/>
        <w:jc w:val="both"/>
        <w:rPr>
          <w:rFonts w:ascii="Arial" w:hAnsi="Arial" w:cs="Arial"/>
          <w:szCs w:val="24"/>
        </w:rPr>
      </w:pPr>
      <w:r w:rsidRPr="00312389">
        <w:rPr>
          <w:rFonts w:ascii="Arial" w:hAnsi="Arial" w:cs="Arial"/>
          <w:szCs w:val="24"/>
        </w:rPr>
        <w:t xml:space="preserve">Firstly, a remediation approach helps to apply the scaling mechanism to prioritise and fix vulnerabilities that pose an imminent threat (Pearce </w:t>
      </w:r>
      <w:r w:rsidR="00B50415" w:rsidRPr="00B50415">
        <w:rPr>
          <w:rFonts w:ascii="Arial" w:hAnsi="Arial" w:cs="Arial"/>
          <w:i/>
          <w:iCs/>
          <w:szCs w:val="24"/>
        </w:rPr>
        <w:t>et al</w:t>
      </w:r>
      <w:r w:rsidRPr="00312389">
        <w:rPr>
          <w:rFonts w:ascii="Arial" w:hAnsi="Arial" w:cs="Arial"/>
          <w:szCs w:val="24"/>
        </w:rPr>
        <w:t>., 2018). Secondly, the most cyberattack on SMEs are due to human errors, drawing first on the internal investigation could save time and resources with a repeatable and auditable process (</w:t>
      </w:r>
      <w:proofErr w:type="spellStart"/>
      <w:r w:rsidRPr="00312389">
        <w:rPr>
          <w:rFonts w:ascii="Arial" w:hAnsi="Arial" w:cs="Arial"/>
          <w:szCs w:val="24"/>
        </w:rPr>
        <w:t>Bernik</w:t>
      </w:r>
      <w:proofErr w:type="spellEnd"/>
      <w:r w:rsidRPr="00312389">
        <w:rPr>
          <w:rFonts w:ascii="Arial" w:hAnsi="Arial" w:cs="Arial"/>
          <w:szCs w:val="24"/>
        </w:rPr>
        <w:t xml:space="preserve">, 2014). Thirdly, such LI could be useful in the deployment of security solution via an agile approach in case the attack aimed at more significant corporation partners of the SME. Cyberattack sometimes target small businesses intending to breach a larger company connected to the small business (Woods and Simpson, 2017). Fourthly, with such a procedure, decision-makers could positively lean on viable security awareness, a strategy for security culture change and improving the quality of deployment of efficient ITG framework (Hubbard and </w:t>
      </w:r>
      <w:proofErr w:type="spellStart"/>
      <w:r w:rsidRPr="00312389">
        <w:rPr>
          <w:rFonts w:ascii="Arial" w:hAnsi="Arial" w:cs="Arial"/>
          <w:szCs w:val="24"/>
        </w:rPr>
        <w:t>Seiersen</w:t>
      </w:r>
      <w:proofErr w:type="spellEnd"/>
      <w:r w:rsidRPr="00312389">
        <w:rPr>
          <w:rFonts w:ascii="Arial" w:hAnsi="Arial" w:cs="Arial"/>
          <w:szCs w:val="24"/>
        </w:rPr>
        <w:t xml:space="preserve">, 2016). </w:t>
      </w:r>
      <w:bookmarkStart w:id="40" w:name="_Hlk24093418"/>
    </w:p>
    <w:p w14:paraId="00C4A3CF" w14:textId="0297A417" w:rsidR="007F31D8" w:rsidRDefault="006D28E1" w:rsidP="007F31D8">
      <w:pPr>
        <w:spacing w:line="480" w:lineRule="auto"/>
        <w:ind w:firstLine="576"/>
        <w:jc w:val="both"/>
        <w:rPr>
          <w:rFonts w:ascii="Arial" w:hAnsi="Arial" w:cs="Arial"/>
          <w:color w:val="000000"/>
          <w:szCs w:val="24"/>
        </w:rPr>
      </w:pPr>
      <w:r w:rsidRPr="00507228">
        <w:rPr>
          <w:rFonts w:ascii="Arial" w:hAnsi="Arial" w:cs="Arial"/>
          <w:color w:val="000000"/>
          <w:szCs w:val="24"/>
        </w:rPr>
        <w:t xml:space="preserve">Furthermore, the leaning on how best to secure critical organisational infrastructure suffices as a reliance on the security culture that exists within the organisation rather than exploring the vulnerability of an ITG model. UK’s SME decision-makers are frequently </w:t>
      </w:r>
      <w:r w:rsidR="00EE20A0" w:rsidRPr="00507228">
        <w:rPr>
          <w:rFonts w:ascii="Arial" w:hAnsi="Arial" w:cs="Arial"/>
          <w:color w:val="000000"/>
          <w:szCs w:val="24"/>
        </w:rPr>
        <w:t>depe</w:t>
      </w:r>
      <w:r w:rsidR="00AE44D4" w:rsidRPr="00507228">
        <w:rPr>
          <w:rFonts w:ascii="Arial" w:hAnsi="Arial" w:cs="Arial"/>
          <w:color w:val="000000"/>
          <w:szCs w:val="24"/>
        </w:rPr>
        <w:t xml:space="preserve">ndent on </w:t>
      </w:r>
      <w:r w:rsidRPr="00507228">
        <w:rPr>
          <w:rFonts w:ascii="Arial" w:hAnsi="Arial" w:cs="Arial"/>
          <w:color w:val="000000"/>
          <w:szCs w:val="24"/>
        </w:rPr>
        <w:t xml:space="preserve">best </w:t>
      </w:r>
      <w:r w:rsidR="00AE44D4" w:rsidRPr="00507228">
        <w:rPr>
          <w:rFonts w:ascii="Arial" w:hAnsi="Arial" w:cs="Arial"/>
          <w:color w:val="000000"/>
          <w:szCs w:val="24"/>
        </w:rPr>
        <w:t xml:space="preserve">approach </w:t>
      </w:r>
      <w:r w:rsidRPr="00507228">
        <w:rPr>
          <w:rFonts w:ascii="Arial" w:hAnsi="Arial" w:cs="Arial"/>
          <w:color w:val="000000"/>
          <w:szCs w:val="24"/>
        </w:rPr>
        <w:t xml:space="preserve">to secure organisations limited assets in an ever-evolving threat landscape; </w:t>
      </w:r>
      <w:r w:rsidR="00507228" w:rsidRPr="00507228">
        <w:rPr>
          <w:rFonts w:ascii="Arial" w:hAnsi="Arial" w:cs="Arial"/>
          <w:color w:val="000000"/>
          <w:szCs w:val="24"/>
        </w:rPr>
        <w:t>thus,</w:t>
      </w:r>
      <w:r w:rsidRPr="00507228">
        <w:rPr>
          <w:rFonts w:ascii="Arial" w:hAnsi="Arial" w:cs="Arial"/>
          <w:color w:val="000000"/>
          <w:szCs w:val="24"/>
        </w:rPr>
        <w:t xml:space="preserve"> engaging every single employee in such a process is crucial to creating integrated, effective </w:t>
      </w:r>
      <w:r w:rsidRPr="00507228">
        <w:rPr>
          <w:rFonts w:ascii="Arial" w:hAnsi="Arial" w:cs="Arial"/>
          <w:color w:val="000000"/>
          <w:szCs w:val="24"/>
        </w:rPr>
        <w:lastRenderedPageBreak/>
        <w:t>and proactive strategy for security culture as defence (</w:t>
      </w:r>
      <w:proofErr w:type="spellStart"/>
      <w:r w:rsidRPr="00507228">
        <w:rPr>
          <w:rFonts w:ascii="Arial" w:hAnsi="Arial" w:cs="Arial"/>
          <w:color w:val="000000"/>
          <w:szCs w:val="24"/>
        </w:rPr>
        <w:t>GreenPope</w:t>
      </w:r>
      <w:proofErr w:type="spellEnd"/>
      <w:r w:rsidRPr="00507228">
        <w:rPr>
          <w:rFonts w:ascii="Arial" w:hAnsi="Arial" w:cs="Arial"/>
          <w:color w:val="000000"/>
          <w:szCs w:val="24"/>
        </w:rPr>
        <w:t xml:space="preserve"> </w:t>
      </w:r>
      <w:r w:rsidR="00B50415" w:rsidRPr="00B50415">
        <w:rPr>
          <w:rFonts w:ascii="Arial" w:hAnsi="Arial" w:cs="Arial"/>
          <w:i/>
          <w:iCs/>
          <w:color w:val="000000"/>
          <w:szCs w:val="24"/>
        </w:rPr>
        <w:t>et al</w:t>
      </w:r>
      <w:r w:rsidRPr="00507228">
        <w:rPr>
          <w:rFonts w:ascii="Arial" w:hAnsi="Arial" w:cs="Arial"/>
          <w:color w:val="000000"/>
          <w:szCs w:val="24"/>
        </w:rPr>
        <w:t>., 2010; Williams, 2014; Wilkin, 2012; Woods and Simpson, 2017)</w:t>
      </w:r>
      <w:r w:rsidR="007F31D8">
        <w:rPr>
          <w:rFonts w:ascii="Arial" w:hAnsi="Arial" w:cs="Arial"/>
          <w:color w:val="000000"/>
          <w:szCs w:val="24"/>
        </w:rPr>
        <w:t xml:space="preserve">. </w:t>
      </w:r>
    </w:p>
    <w:p w14:paraId="5DB18046" w14:textId="59DAF814" w:rsidR="008D467E" w:rsidRPr="00312389" w:rsidRDefault="008D467E" w:rsidP="007F31D8">
      <w:pPr>
        <w:spacing w:line="480" w:lineRule="auto"/>
        <w:ind w:firstLine="576"/>
        <w:jc w:val="both"/>
        <w:rPr>
          <w:rFonts w:ascii="Arial" w:hAnsi="Arial" w:cs="Arial"/>
          <w:szCs w:val="24"/>
        </w:rPr>
      </w:pPr>
      <w:r w:rsidRPr="00312389">
        <w:rPr>
          <w:rFonts w:ascii="Arial" w:hAnsi="Arial" w:cs="Arial"/>
          <w:szCs w:val="24"/>
        </w:rPr>
        <w:t xml:space="preserve">However, due to frequently identified vulnerabilities in ITG models, the cost of fixing data-breaches is a challenge. Some experts (e.g., </w:t>
      </w:r>
      <w:proofErr w:type="spellStart"/>
      <w:r w:rsidRPr="00312389">
        <w:rPr>
          <w:rFonts w:ascii="Arial" w:hAnsi="Arial" w:cs="Arial"/>
          <w:szCs w:val="24"/>
        </w:rPr>
        <w:t>Alkhoraif</w:t>
      </w:r>
      <w:proofErr w:type="spellEnd"/>
      <w:r w:rsidRPr="00312389">
        <w:rPr>
          <w:rFonts w:ascii="Arial" w:hAnsi="Arial" w:cs="Arial"/>
          <w:szCs w:val="24"/>
        </w:rPr>
        <w:t xml:space="preserve">, 2018; </w:t>
      </w:r>
      <w:proofErr w:type="spellStart"/>
      <w:r w:rsidRPr="00312389">
        <w:rPr>
          <w:rFonts w:ascii="Arial" w:hAnsi="Arial" w:cs="Arial"/>
          <w:szCs w:val="24"/>
        </w:rPr>
        <w:t>Azmi</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2018;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w:t>
      </w:r>
      <w:proofErr w:type="spellEnd"/>
      <w:r w:rsidRPr="00312389">
        <w:rPr>
          <w:rFonts w:ascii="Arial" w:hAnsi="Arial" w:cs="Arial"/>
          <w:szCs w:val="24"/>
        </w:rPr>
        <w:t xml:space="preserve">, 2006) suggested a </w:t>
      </w:r>
      <w:proofErr w:type="spellStart"/>
      <w:r w:rsidRPr="00312389">
        <w:rPr>
          <w:rFonts w:ascii="Arial" w:hAnsi="Arial" w:cs="Arial"/>
          <w:szCs w:val="24"/>
        </w:rPr>
        <w:t>multistakeholder</w:t>
      </w:r>
      <w:proofErr w:type="spellEnd"/>
      <w:r w:rsidRPr="00312389">
        <w:rPr>
          <w:rFonts w:ascii="Arial" w:hAnsi="Arial" w:cs="Arial"/>
          <w:szCs w:val="24"/>
        </w:rPr>
        <w:t xml:space="preserve"> approach to scaling (MSGS). Such an approach should identify all the actors with access to the cyber domain and detailed within the SMEs’ cyber policy (Gregory </w:t>
      </w:r>
      <w:r w:rsidR="00B50415" w:rsidRPr="00B50415">
        <w:rPr>
          <w:rFonts w:ascii="Arial" w:hAnsi="Arial" w:cs="Arial"/>
          <w:i/>
          <w:iCs/>
          <w:szCs w:val="24"/>
        </w:rPr>
        <w:t>et al</w:t>
      </w:r>
      <w:r w:rsidRPr="00312389">
        <w:rPr>
          <w:rFonts w:ascii="Arial" w:hAnsi="Arial" w:cs="Arial"/>
          <w:szCs w:val="24"/>
        </w:rPr>
        <w:t xml:space="preserve">., 2018; </w:t>
      </w:r>
      <w:proofErr w:type="spellStart"/>
      <w:r w:rsidRPr="00312389">
        <w:rPr>
          <w:rFonts w:ascii="Arial" w:hAnsi="Arial" w:cs="Arial"/>
          <w:szCs w:val="24"/>
        </w:rPr>
        <w:t>Nicho</w:t>
      </w:r>
      <w:proofErr w:type="spellEnd"/>
      <w:r w:rsidRPr="00312389">
        <w:rPr>
          <w:rFonts w:ascii="Arial" w:hAnsi="Arial" w:cs="Arial"/>
          <w:szCs w:val="24"/>
        </w:rPr>
        <w:t xml:space="preserve"> and Khan, 2017; Woods and Simpson, 2017). Considering ITG and business alignment, this is a scaling mechanism to provide a cost-effective and risk-reduction technique to resilient cyber policy implementation (De </w:t>
      </w:r>
      <w:proofErr w:type="spellStart"/>
      <w:r w:rsidRPr="00312389">
        <w:rPr>
          <w:rFonts w:ascii="Arial" w:hAnsi="Arial" w:cs="Arial"/>
          <w:szCs w:val="24"/>
        </w:rPr>
        <w:t>Haes</w:t>
      </w:r>
      <w:proofErr w:type="spellEnd"/>
      <w:r w:rsidRPr="00312389">
        <w:rPr>
          <w:rFonts w:ascii="Arial" w:hAnsi="Arial" w:cs="Arial"/>
          <w:szCs w:val="24"/>
        </w:rPr>
        <w:t xml:space="preserve"> and </w:t>
      </w:r>
      <w:proofErr w:type="spellStart"/>
      <w:r w:rsidRPr="00312389">
        <w:rPr>
          <w:rFonts w:ascii="Arial" w:hAnsi="Arial" w:cs="Arial"/>
          <w:szCs w:val="24"/>
        </w:rPr>
        <w:t>Grembergen</w:t>
      </w:r>
      <w:proofErr w:type="spellEnd"/>
      <w:r w:rsidRPr="00312389">
        <w:rPr>
          <w:rFonts w:ascii="Arial" w:hAnsi="Arial" w:cs="Arial"/>
          <w:szCs w:val="24"/>
        </w:rPr>
        <w:t xml:space="preserve">, 2009; Gregory </w:t>
      </w:r>
      <w:r w:rsidR="00B50415" w:rsidRPr="00B50415">
        <w:rPr>
          <w:rFonts w:ascii="Arial" w:hAnsi="Arial" w:cs="Arial"/>
          <w:i/>
          <w:iCs/>
          <w:szCs w:val="24"/>
        </w:rPr>
        <w:t>et al</w:t>
      </w:r>
      <w:r w:rsidRPr="00312389">
        <w:rPr>
          <w:rFonts w:ascii="Arial" w:hAnsi="Arial" w:cs="Arial"/>
          <w:szCs w:val="24"/>
        </w:rPr>
        <w:t xml:space="preserve">., 2018; OECD 2002, 2012; </w:t>
      </w:r>
      <w:proofErr w:type="spellStart"/>
      <w:r w:rsidRPr="00312389">
        <w:rPr>
          <w:rFonts w:ascii="Arial" w:hAnsi="Arial" w:cs="Arial"/>
          <w:szCs w:val="24"/>
        </w:rPr>
        <w:t>GreenPope</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2010). </w:t>
      </w:r>
    </w:p>
    <w:p w14:paraId="402DE2F6" w14:textId="6F2A4613" w:rsidR="00526880" w:rsidRPr="00312389" w:rsidRDefault="00526880" w:rsidP="00D40EBB">
      <w:pPr>
        <w:pStyle w:val="Heading2"/>
        <w:spacing w:line="480" w:lineRule="auto"/>
        <w:rPr>
          <w:rFonts w:ascii="Arial" w:hAnsi="Arial" w:cs="Arial"/>
        </w:rPr>
      </w:pPr>
      <w:bookmarkStart w:id="41" w:name="_Toc72189392"/>
      <w:r w:rsidRPr="00312389">
        <w:rPr>
          <w:rFonts w:ascii="Arial" w:hAnsi="Arial" w:cs="Arial"/>
        </w:rPr>
        <w:t>Application of Link Analysis (LA)</w:t>
      </w:r>
      <w:bookmarkEnd w:id="41"/>
      <w:r w:rsidRPr="00312389">
        <w:rPr>
          <w:rFonts w:ascii="Arial" w:hAnsi="Arial" w:cs="Arial"/>
        </w:rPr>
        <w:t xml:space="preserve"> </w:t>
      </w:r>
    </w:p>
    <w:bookmarkEnd w:id="40"/>
    <w:p w14:paraId="7D844362" w14:textId="77777777" w:rsidR="00526880" w:rsidRPr="00312389" w:rsidRDefault="008D467E" w:rsidP="007F31D8">
      <w:pPr>
        <w:spacing w:line="480" w:lineRule="auto"/>
        <w:ind w:firstLine="576"/>
        <w:jc w:val="both"/>
        <w:rPr>
          <w:rFonts w:ascii="Arial" w:hAnsi="Arial" w:cs="Arial"/>
          <w:szCs w:val="24"/>
        </w:rPr>
      </w:pPr>
      <w:r w:rsidRPr="00312389">
        <w:rPr>
          <w:rFonts w:ascii="Arial" w:hAnsi="Arial" w:cs="Arial"/>
          <w:szCs w:val="24"/>
        </w:rPr>
        <w:t>LA is in use to capture and evaluate the relationship that may exist, considering the questions in a relational context. Figure 6 and 7 show direct linkage relationship as follows:</w:t>
      </w:r>
    </w:p>
    <w:p w14:paraId="4916DF2B" w14:textId="77777777" w:rsidR="00526880" w:rsidRPr="00312389" w:rsidRDefault="008D467E" w:rsidP="006B79BB">
      <w:pPr>
        <w:spacing w:line="480" w:lineRule="auto"/>
        <w:ind w:firstLine="576"/>
        <w:jc w:val="both"/>
        <w:rPr>
          <w:rFonts w:ascii="Arial" w:hAnsi="Arial" w:cs="Arial"/>
          <w:szCs w:val="24"/>
        </w:rPr>
      </w:pPr>
      <w:r w:rsidRPr="00312389">
        <w:rPr>
          <w:rFonts w:ascii="Arial" w:hAnsi="Arial" w:cs="Arial"/>
          <w:szCs w:val="24"/>
        </w:rPr>
        <w:t>There is a correlation between awareness of cyber security threats and the existence of cyber security policies in UK SME organisations. 57% of participants have cyber security policy and awareness training in their organisations.  Therefore, increasing awareness of cyber threats creates the need to improve cyber security in organisations.</w:t>
      </w:r>
    </w:p>
    <w:p w14:paraId="56C20FF0" w14:textId="06BA09B7" w:rsidR="00526880" w:rsidRPr="00312389" w:rsidRDefault="008D467E" w:rsidP="007F31D8">
      <w:pPr>
        <w:spacing w:line="480" w:lineRule="auto"/>
        <w:ind w:firstLine="720"/>
        <w:jc w:val="both"/>
        <w:rPr>
          <w:rFonts w:ascii="Arial" w:hAnsi="Arial" w:cs="Arial"/>
          <w:szCs w:val="24"/>
        </w:rPr>
      </w:pPr>
      <w:r w:rsidRPr="00312389">
        <w:rPr>
          <w:rFonts w:ascii="Arial" w:hAnsi="Arial" w:cs="Arial"/>
          <w:szCs w:val="24"/>
        </w:rPr>
        <w:t xml:space="preserve">79% of participants identify anti-virus, firewall and encryption as important tool for deterring and monitoring cyber threats against their organisations. However, the use of encryption (55%) compared with other cybersecurity tools is not widely popular, according to the respondents. 84% of participants use backups as part of </w:t>
      </w:r>
      <w:r w:rsidRPr="00312389">
        <w:rPr>
          <w:rFonts w:ascii="Arial" w:hAnsi="Arial" w:cs="Arial"/>
          <w:szCs w:val="24"/>
        </w:rPr>
        <w:lastRenderedPageBreak/>
        <w:t>their cyber security tool.  The survey shows that organisations see security tools as essential against cyber threat, 80% of participants use anti-virus, firewall, encryption and backup in their organisations.</w:t>
      </w:r>
    </w:p>
    <w:p w14:paraId="105DFE0E" w14:textId="681B3117" w:rsidR="008D467E" w:rsidRPr="00312389" w:rsidRDefault="008D467E" w:rsidP="006B79BB">
      <w:pPr>
        <w:spacing w:line="480" w:lineRule="auto"/>
        <w:ind w:firstLine="720"/>
        <w:jc w:val="both"/>
        <w:rPr>
          <w:rFonts w:ascii="Arial" w:hAnsi="Arial" w:cs="Arial"/>
          <w:szCs w:val="24"/>
        </w:rPr>
      </w:pPr>
      <w:r w:rsidRPr="00312389">
        <w:rPr>
          <w:rFonts w:ascii="Arial" w:hAnsi="Arial" w:cs="Arial"/>
          <w:szCs w:val="24"/>
        </w:rPr>
        <w:t>78% of participants believe internal investigation as a first step in the aftermath of a cyber-attack.  However, 20% would consider calling the police or using a 3</w:t>
      </w:r>
      <w:r w:rsidRPr="00312389">
        <w:rPr>
          <w:rFonts w:ascii="Arial" w:hAnsi="Arial" w:cs="Arial"/>
          <w:szCs w:val="24"/>
          <w:vertAlign w:val="superscript"/>
        </w:rPr>
        <w:t>rd</w:t>
      </w:r>
      <w:r w:rsidRPr="00312389">
        <w:rPr>
          <w:rFonts w:ascii="Arial" w:hAnsi="Arial" w:cs="Arial"/>
          <w:szCs w:val="24"/>
        </w:rPr>
        <w:t xml:space="preserve"> party cyber investigator.  Data shows correlation between having tools such as antivirus, firewall and encryption with been able to carry out internal investigation.</w:t>
      </w:r>
      <w:r w:rsidR="006B79BB">
        <w:rPr>
          <w:rFonts w:ascii="Arial" w:hAnsi="Arial" w:cs="Arial"/>
          <w:szCs w:val="24"/>
        </w:rPr>
        <w:t xml:space="preserve"> </w:t>
      </w:r>
      <w:r w:rsidRPr="00312389">
        <w:rPr>
          <w:rFonts w:ascii="Arial" w:hAnsi="Arial" w:cs="Arial"/>
          <w:szCs w:val="24"/>
        </w:rPr>
        <w:t>79% of participant use security tools that provide log details of activities or threats against organisations while 78% will start from internal investigation to understand cyber threats and impacts.</w:t>
      </w:r>
    </w:p>
    <w:p w14:paraId="00E81809" w14:textId="77777777" w:rsidR="008D467E" w:rsidRPr="00312389" w:rsidRDefault="008D467E" w:rsidP="00D40EBB">
      <w:pPr>
        <w:spacing w:line="480" w:lineRule="auto"/>
        <w:jc w:val="both"/>
        <w:rPr>
          <w:rFonts w:ascii="Arial" w:hAnsi="Arial" w:cs="Arial"/>
          <w:b/>
          <w:bCs/>
          <w:szCs w:val="24"/>
        </w:rPr>
      </w:pPr>
      <w:r w:rsidRPr="00312389">
        <w:rPr>
          <w:rFonts w:ascii="Arial" w:hAnsi="Arial" w:cs="Arial"/>
          <w:noProof/>
          <w:lang w:eastAsia="en-GB"/>
        </w:rPr>
        <w:drawing>
          <wp:inline distT="0" distB="0" distL="0" distR="0" wp14:anchorId="31226F6B" wp14:editId="0DFEF563">
            <wp:extent cx="6283325" cy="35831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30" b="49834"/>
                    <a:stretch/>
                  </pic:blipFill>
                  <pic:spPr bwMode="auto">
                    <a:xfrm>
                      <a:off x="0" y="0"/>
                      <a:ext cx="6306481" cy="3596377"/>
                    </a:xfrm>
                    <a:prstGeom prst="rect">
                      <a:avLst/>
                    </a:prstGeom>
                    <a:noFill/>
                    <a:ln>
                      <a:noFill/>
                    </a:ln>
                    <a:extLst>
                      <a:ext uri="{53640926-AAD7-44D8-BBD7-CCE9431645EC}">
                        <a14:shadowObscured xmlns:a14="http://schemas.microsoft.com/office/drawing/2010/main"/>
                      </a:ext>
                    </a:extLst>
                  </pic:spPr>
                </pic:pic>
              </a:graphicData>
            </a:graphic>
          </wp:inline>
        </w:drawing>
      </w:r>
    </w:p>
    <w:p w14:paraId="62EEC68B" w14:textId="77777777" w:rsidR="008D467E" w:rsidRPr="00312389" w:rsidRDefault="008D467E" w:rsidP="00D40EBB">
      <w:pPr>
        <w:spacing w:line="480" w:lineRule="auto"/>
        <w:jc w:val="both"/>
        <w:rPr>
          <w:rFonts w:ascii="Arial" w:hAnsi="Arial" w:cs="Arial"/>
          <w:b/>
          <w:bCs/>
          <w:szCs w:val="24"/>
        </w:rPr>
      </w:pPr>
      <w:r w:rsidRPr="00312389">
        <w:rPr>
          <w:rFonts w:ascii="Arial" w:hAnsi="Arial" w:cs="Arial"/>
          <w:noProof/>
          <w:lang w:eastAsia="en-GB"/>
        </w:rPr>
        <w:lastRenderedPageBreak/>
        <w:drawing>
          <wp:inline distT="0" distB="0" distL="0" distR="0" wp14:anchorId="0E28C490" wp14:editId="02874517">
            <wp:extent cx="5953125" cy="3200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489" b="1997"/>
                    <a:stretch/>
                  </pic:blipFill>
                  <pic:spPr bwMode="auto">
                    <a:xfrm>
                      <a:off x="0" y="0"/>
                      <a:ext cx="5957329" cy="3202660"/>
                    </a:xfrm>
                    <a:prstGeom prst="rect">
                      <a:avLst/>
                    </a:prstGeom>
                    <a:noFill/>
                    <a:ln>
                      <a:noFill/>
                    </a:ln>
                    <a:extLst>
                      <a:ext uri="{53640926-AAD7-44D8-BBD7-CCE9431645EC}">
                        <a14:shadowObscured xmlns:a14="http://schemas.microsoft.com/office/drawing/2010/main"/>
                      </a:ext>
                    </a:extLst>
                  </pic:spPr>
                </pic:pic>
              </a:graphicData>
            </a:graphic>
          </wp:inline>
        </w:drawing>
      </w:r>
    </w:p>
    <w:p w14:paraId="7D43A1F4" w14:textId="1C4CFDA5" w:rsidR="008D467E" w:rsidRPr="00312389" w:rsidRDefault="00526880" w:rsidP="00D40EBB">
      <w:pPr>
        <w:pStyle w:val="Heading2"/>
        <w:spacing w:line="480" w:lineRule="auto"/>
        <w:rPr>
          <w:rFonts w:ascii="Arial" w:hAnsi="Arial" w:cs="Arial"/>
        </w:rPr>
      </w:pPr>
      <w:bookmarkStart w:id="42" w:name="_Toc72189393"/>
      <w:r w:rsidRPr="00312389">
        <w:rPr>
          <w:rFonts w:ascii="Arial" w:hAnsi="Arial" w:cs="Arial"/>
        </w:rPr>
        <w:t>Summary of Findings</w:t>
      </w:r>
      <w:bookmarkEnd w:id="42"/>
      <w:r w:rsidRPr="00312389">
        <w:rPr>
          <w:rFonts w:ascii="Arial" w:hAnsi="Arial" w:cs="Arial"/>
        </w:rPr>
        <w:t xml:space="preserve"> </w:t>
      </w:r>
    </w:p>
    <w:p w14:paraId="2AAF7B92" w14:textId="77777777" w:rsidR="006B79BB" w:rsidRDefault="008D467E" w:rsidP="006B79BB">
      <w:pPr>
        <w:spacing w:line="480" w:lineRule="auto"/>
        <w:ind w:firstLine="576"/>
        <w:jc w:val="both"/>
        <w:rPr>
          <w:rFonts w:ascii="Arial" w:hAnsi="Arial" w:cs="Arial"/>
          <w:szCs w:val="24"/>
        </w:rPr>
      </w:pPr>
      <w:bookmarkStart w:id="43" w:name="_Hlk23765675"/>
      <w:r w:rsidRPr="00312389">
        <w:rPr>
          <w:rFonts w:ascii="Arial" w:hAnsi="Arial" w:cs="Arial"/>
          <w:szCs w:val="24"/>
        </w:rPr>
        <w:t xml:space="preserve">Based on the review of the literature and comparison with the exploratory qualitative secondary research conducted, the responsibilities of UK's SME Aviation decision-makers are apparent.  Section 4.3 and 4.4 summarise the identifiable relationships that exist between ITG and MSGS due to scaling approach to implementable cyber policy. However, the UK Public Data Group through the implementation of the Companies Act 2006 and that of the GDPR 2018 can hold the executives of any UK's SME Aviation for non-compliance to their obligations.  In other words, there are consequences for wrongful scaling techniques for the execution of lawful authority. It is not opinionated that a business executive can be held responsible for organisational failings — for instance, the loss of Intellectual Property, or improper dissolution of an organisation. The diminished estimation of organisation resources could suffice as a means for organisational cybersecurity failings. Nonetheless, and apparently, any of these could conceivably result from a substantial information breach or loss of necessary security governance, which </w:t>
      </w:r>
      <w:r w:rsidRPr="00312389">
        <w:rPr>
          <w:rFonts w:ascii="Arial" w:hAnsi="Arial" w:cs="Arial"/>
          <w:szCs w:val="24"/>
        </w:rPr>
        <w:lastRenderedPageBreak/>
        <w:t xml:space="preserve">could see clients lose trust in the organisation and the estimation of information or data assets loss or both. </w:t>
      </w:r>
    </w:p>
    <w:p w14:paraId="3B662AA0" w14:textId="77777777" w:rsidR="00EE65CE" w:rsidRDefault="003B02EA" w:rsidP="006B79BB">
      <w:pPr>
        <w:spacing w:line="480" w:lineRule="auto"/>
        <w:ind w:firstLine="576"/>
        <w:jc w:val="both"/>
        <w:rPr>
          <w:rFonts w:ascii="Arial" w:hAnsi="Arial" w:cs="Arial"/>
          <w:szCs w:val="24"/>
        </w:rPr>
      </w:pPr>
      <w:r w:rsidRPr="003B02EA">
        <w:rPr>
          <w:rFonts w:ascii="Arial" w:hAnsi="Arial" w:cs="Arial"/>
          <w:szCs w:val="24"/>
        </w:rPr>
        <w:t>Conveniently, the UK's SME Aviation decision-makers should consider supporting the business with applicable measurements to anchor information and related assets within the limited resources (</w:t>
      </w:r>
      <w:proofErr w:type="spellStart"/>
      <w:r w:rsidRPr="003B02EA">
        <w:rPr>
          <w:rFonts w:ascii="Arial" w:hAnsi="Arial" w:cs="Arial"/>
          <w:szCs w:val="24"/>
        </w:rPr>
        <w:t>Ademola</w:t>
      </w:r>
      <w:proofErr w:type="spellEnd"/>
      <w:r w:rsidRPr="003B02EA">
        <w:rPr>
          <w:rFonts w:ascii="Arial" w:hAnsi="Arial" w:cs="Arial"/>
          <w:szCs w:val="24"/>
        </w:rPr>
        <w:t xml:space="preserve">, 2021; Robinson, 2005; Weimer and Vining, 2017). Further to overseeing dangers, and showing practical consideration, expertise, and resilience consistently required to safeguard data and other organisational valuable assets tirelessly (Aggarwal and </w:t>
      </w:r>
      <w:proofErr w:type="spellStart"/>
      <w:r w:rsidRPr="003B02EA">
        <w:rPr>
          <w:rFonts w:ascii="Arial" w:hAnsi="Arial" w:cs="Arial"/>
          <w:szCs w:val="24"/>
        </w:rPr>
        <w:t>Reddie</w:t>
      </w:r>
      <w:proofErr w:type="spellEnd"/>
      <w:r w:rsidRPr="003B02EA">
        <w:rPr>
          <w:rFonts w:ascii="Arial" w:hAnsi="Arial" w:cs="Arial"/>
          <w:szCs w:val="24"/>
        </w:rPr>
        <w:t xml:space="preserve">, 2018; Matten and Moon, 2008; </w:t>
      </w:r>
      <w:proofErr w:type="spellStart"/>
      <w:r w:rsidRPr="003B02EA">
        <w:rPr>
          <w:rFonts w:ascii="Arial" w:hAnsi="Arial" w:cs="Arial"/>
          <w:szCs w:val="24"/>
        </w:rPr>
        <w:t>Brantly</w:t>
      </w:r>
      <w:proofErr w:type="spellEnd"/>
      <w:r w:rsidRPr="003B02EA">
        <w:rPr>
          <w:rFonts w:ascii="Arial" w:hAnsi="Arial" w:cs="Arial"/>
          <w:szCs w:val="24"/>
        </w:rPr>
        <w:t xml:space="preserve">, 2019). </w:t>
      </w:r>
      <w:proofErr w:type="spellStart"/>
      <w:r w:rsidRPr="003B02EA">
        <w:rPr>
          <w:rFonts w:ascii="Arial" w:hAnsi="Arial" w:cs="Arial"/>
          <w:szCs w:val="24"/>
        </w:rPr>
        <w:t>Ademola</w:t>
      </w:r>
      <w:proofErr w:type="spellEnd"/>
      <w:r w:rsidRPr="003B02EA">
        <w:rPr>
          <w:rFonts w:ascii="Arial" w:hAnsi="Arial" w:cs="Arial"/>
          <w:szCs w:val="24"/>
        </w:rPr>
        <w:t xml:space="preserve"> (2021) asserts that "Such an implementable cyber policy should entail the proper implementation of information assurance and risk management (IA&amp;RM)." </w:t>
      </w:r>
    </w:p>
    <w:p w14:paraId="12C8C84B" w14:textId="0544B25D" w:rsidR="006B79BB" w:rsidRDefault="008D467E" w:rsidP="006B79BB">
      <w:pPr>
        <w:spacing w:line="480" w:lineRule="auto"/>
        <w:ind w:firstLine="576"/>
        <w:jc w:val="both"/>
        <w:rPr>
          <w:rFonts w:ascii="Arial" w:hAnsi="Arial" w:cs="Arial"/>
          <w:szCs w:val="24"/>
        </w:rPr>
      </w:pPr>
      <w:r w:rsidRPr="00312389">
        <w:rPr>
          <w:rFonts w:ascii="Arial" w:hAnsi="Arial" w:cs="Arial"/>
          <w:szCs w:val="24"/>
        </w:rPr>
        <w:t xml:space="preserve">The literature review and the outcome of analytical exploration underscore the need for appropriate IA&amp;RM to relational scaling guidance (Von </w:t>
      </w:r>
      <w:proofErr w:type="spellStart"/>
      <w:r w:rsidRPr="00312389">
        <w:rPr>
          <w:rFonts w:ascii="Arial" w:hAnsi="Arial" w:cs="Arial"/>
          <w:szCs w:val="24"/>
        </w:rPr>
        <w:t>Solms</w:t>
      </w:r>
      <w:proofErr w:type="spellEnd"/>
      <w:r w:rsidRPr="00312389">
        <w:rPr>
          <w:rFonts w:ascii="Arial" w:hAnsi="Arial" w:cs="Arial"/>
          <w:szCs w:val="24"/>
        </w:rPr>
        <w:t xml:space="preserve"> and Van </w:t>
      </w:r>
      <w:proofErr w:type="spellStart"/>
      <w:r w:rsidRPr="00312389">
        <w:rPr>
          <w:rFonts w:ascii="Arial" w:hAnsi="Arial" w:cs="Arial"/>
          <w:szCs w:val="24"/>
        </w:rPr>
        <w:t>Niekerk</w:t>
      </w:r>
      <w:proofErr w:type="spellEnd"/>
      <w:r w:rsidRPr="00312389">
        <w:rPr>
          <w:rFonts w:ascii="Arial" w:hAnsi="Arial" w:cs="Arial"/>
          <w:szCs w:val="24"/>
        </w:rPr>
        <w:t xml:space="preserve">, 2013; OECD, 2012; Webb </w:t>
      </w:r>
      <w:r w:rsidR="00B50415" w:rsidRPr="00B50415">
        <w:rPr>
          <w:rFonts w:ascii="Arial" w:hAnsi="Arial" w:cs="Arial"/>
          <w:i/>
          <w:iCs/>
          <w:szCs w:val="24"/>
        </w:rPr>
        <w:t>et al</w:t>
      </w:r>
      <w:r w:rsidRPr="00312389">
        <w:rPr>
          <w:rFonts w:ascii="Arial" w:hAnsi="Arial" w:cs="Arial"/>
          <w:szCs w:val="24"/>
        </w:rPr>
        <w:t>., 2006). With every element within the implementable cyber policy, ITG and MSGS could provide appropriate links to the effective management of business asset (</w:t>
      </w:r>
      <w:proofErr w:type="spellStart"/>
      <w:r w:rsidRPr="00312389">
        <w:rPr>
          <w:rFonts w:ascii="Arial" w:hAnsi="Arial" w:cs="Arial"/>
          <w:szCs w:val="24"/>
        </w:rPr>
        <w:t>Vejseli</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2019). The need for risk assessment could arise and if identified as misfeasance, might lead to the prosecution of a business executive.</w:t>
      </w:r>
      <w:r w:rsidR="006B79BB">
        <w:rPr>
          <w:rFonts w:ascii="Arial" w:hAnsi="Arial" w:cs="Arial"/>
          <w:szCs w:val="24"/>
        </w:rPr>
        <w:t xml:space="preserve"> </w:t>
      </w:r>
    </w:p>
    <w:p w14:paraId="752B70B8" w14:textId="056A1671" w:rsidR="006B79BB" w:rsidRDefault="008D467E" w:rsidP="006B79BB">
      <w:pPr>
        <w:spacing w:line="480" w:lineRule="auto"/>
        <w:ind w:firstLine="576"/>
        <w:jc w:val="both"/>
        <w:rPr>
          <w:rFonts w:ascii="Arial" w:hAnsi="Arial" w:cs="Arial"/>
          <w:szCs w:val="24"/>
        </w:rPr>
      </w:pPr>
      <w:r w:rsidRPr="00312389">
        <w:rPr>
          <w:rFonts w:ascii="Arial" w:hAnsi="Arial" w:cs="Arial"/>
          <w:szCs w:val="24"/>
        </w:rPr>
        <w:t xml:space="preserve">It has been </w:t>
      </w:r>
      <w:r w:rsidR="00526880" w:rsidRPr="00312389">
        <w:rPr>
          <w:rFonts w:ascii="Arial" w:hAnsi="Arial" w:cs="Arial"/>
          <w:szCs w:val="24"/>
        </w:rPr>
        <w:t>clarified</w:t>
      </w:r>
      <w:r w:rsidRPr="00312389">
        <w:rPr>
          <w:rFonts w:ascii="Arial" w:hAnsi="Arial" w:cs="Arial"/>
          <w:szCs w:val="24"/>
        </w:rPr>
        <w:t xml:space="preserve"> that implementation of the right industrial cyber policy contributes to the robustness of multi-stakeholder governance approach (</w:t>
      </w:r>
      <w:proofErr w:type="spellStart"/>
      <w:r w:rsidRPr="00312389">
        <w:rPr>
          <w:rFonts w:ascii="Arial" w:hAnsi="Arial" w:cs="Arial"/>
          <w:szCs w:val="24"/>
        </w:rPr>
        <w:t>GreenPope</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2010; De </w:t>
      </w:r>
      <w:proofErr w:type="spellStart"/>
      <w:r w:rsidRPr="00312389">
        <w:rPr>
          <w:rFonts w:ascii="Arial" w:hAnsi="Arial" w:cs="Arial"/>
          <w:szCs w:val="24"/>
        </w:rPr>
        <w:t>Haes</w:t>
      </w:r>
      <w:proofErr w:type="spellEnd"/>
      <w:r w:rsidRPr="00312389">
        <w:rPr>
          <w:rFonts w:ascii="Arial" w:hAnsi="Arial" w:cs="Arial"/>
          <w:szCs w:val="24"/>
        </w:rPr>
        <w:t xml:space="preserve"> and Van </w:t>
      </w:r>
      <w:proofErr w:type="spellStart"/>
      <w:r w:rsidRPr="00312389">
        <w:rPr>
          <w:rFonts w:ascii="Arial" w:hAnsi="Arial" w:cs="Arial"/>
          <w:szCs w:val="24"/>
        </w:rPr>
        <w:t>Grembergen</w:t>
      </w:r>
      <w:proofErr w:type="spellEnd"/>
      <w:r w:rsidRPr="00312389">
        <w:rPr>
          <w:rFonts w:ascii="Arial" w:hAnsi="Arial" w:cs="Arial"/>
          <w:szCs w:val="24"/>
        </w:rPr>
        <w:t xml:space="preserve">, 2006; Webb </w:t>
      </w:r>
      <w:r w:rsidR="00B50415" w:rsidRPr="00B50415">
        <w:rPr>
          <w:rFonts w:ascii="Arial" w:hAnsi="Arial" w:cs="Arial"/>
          <w:i/>
          <w:iCs/>
          <w:szCs w:val="24"/>
        </w:rPr>
        <w:t>et al</w:t>
      </w:r>
      <w:r w:rsidRPr="00312389">
        <w:rPr>
          <w:rFonts w:ascii="Arial" w:hAnsi="Arial" w:cs="Arial"/>
          <w:szCs w:val="24"/>
        </w:rPr>
        <w:t xml:space="preserve">., 2006; Hubbard and </w:t>
      </w:r>
      <w:proofErr w:type="spellStart"/>
      <w:r w:rsidRPr="00312389">
        <w:rPr>
          <w:rFonts w:ascii="Arial" w:hAnsi="Arial" w:cs="Arial"/>
          <w:szCs w:val="24"/>
        </w:rPr>
        <w:t>Seiersen</w:t>
      </w:r>
      <w:proofErr w:type="spellEnd"/>
      <w:r w:rsidRPr="00312389">
        <w:rPr>
          <w:rFonts w:ascii="Arial" w:hAnsi="Arial" w:cs="Arial"/>
          <w:szCs w:val="24"/>
        </w:rPr>
        <w:t>, 2016). Fundamentally, this justifies for UK's SME Aviation to execute an IA&amp;RM within the ITG structures (</w:t>
      </w:r>
      <w:proofErr w:type="spellStart"/>
      <w:r w:rsidR="002603FE">
        <w:rPr>
          <w:rFonts w:ascii="Arial" w:hAnsi="Arial" w:cs="Arial"/>
          <w:szCs w:val="24"/>
        </w:rPr>
        <w:t>Ademola</w:t>
      </w:r>
      <w:proofErr w:type="spellEnd"/>
      <w:r w:rsidR="002603FE">
        <w:rPr>
          <w:rFonts w:ascii="Arial" w:hAnsi="Arial" w:cs="Arial"/>
          <w:szCs w:val="24"/>
        </w:rPr>
        <w:t xml:space="preserve">, 2021; </w:t>
      </w:r>
      <w:proofErr w:type="spellStart"/>
      <w:r w:rsidRPr="00312389">
        <w:rPr>
          <w:rFonts w:ascii="Arial" w:hAnsi="Arial" w:cs="Arial"/>
          <w:szCs w:val="24"/>
        </w:rPr>
        <w:t>Bernik</w:t>
      </w:r>
      <w:proofErr w:type="spellEnd"/>
      <w:r w:rsidRPr="00312389">
        <w:rPr>
          <w:rFonts w:ascii="Arial" w:hAnsi="Arial" w:cs="Arial"/>
          <w:szCs w:val="24"/>
        </w:rPr>
        <w:t xml:space="preserve">, 2014; Pal </w:t>
      </w:r>
      <w:r w:rsidR="00B50415" w:rsidRPr="00B50415">
        <w:rPr>
          <w:rFonts w:ascii="Arial" w:hAnsi="Arial" w:cs="Arial"/>
          <w:i/>
          <w:iCs/>
          <w:szCs w:val="24"/>
        </w:rPr>
        <w:t>et al</w:t>
      </w:r>
      <w:r w:rsidRPr="00312389">
        <w:rPr>
          <w:rFonts w:ascii="Arial" w:hAnsi="Arial" w:cs="Arial"/>
          <w:szCs w:val="24"/>
        </w:rPr>
        <w:t xml:space="preserve">., 2014; </w:t>
      </w:r>
      <w:proofErr w:type="spellStart"/>
      <w:r w:rsidRPr="00312389">
        <w:rPr>
          <w:rFonts w:ascii="Arial" w:hAnsi="Arial" w:cs="Arial"/>
          <w:szCs w:val="24"/>
        </w:rPr>
        <w:t>Lelarge</w:t>
      </w:r>
      <w:proofErr w:type="spellEnd"/>
      <w:r w:rsidRPr="00312389">
        <w:rPr>
          <w:rFonts w:ascii="Arial" w:hAnsi="Arial" w:cs="Arial"/>
          <w:szCs w:val="24"/>
        </w:rPr>
        <w:t xml:space="preserve"> and </w:t>
      </w:r>
      <w:proofErr w:type="spellStart"/>
      <w:r w:rsidRPr="00312389">
        <w:rPr>
          <w:rFonts w:ascii="Arial" w:hAnsi="Arial" w:cs="Arial"/>
          <w:szCs w:val="24"/>
        </w:rPr>
        <w:t>Bolot</w:t>
      </w:r>
      <w:proofErr w:type="spellEnd"/>
      <w:r w:rsidRPr="00312389">
        <w:rPr>
          <w:rFonts w:ascii="Arial" w:hAnsi="Arial" w:cs="Arial"/>
          <w:szCs w:val="24"/>
        </w:rPr>
        <w:t xml:space="preserve">, 2009; Saini </w:t>
      </w:r>
      <w:r w:rsidR="00B50415" w:rsidRPr="00B50415">
        <w:rPr>
          <w:rFonts w:ascii="Arial" w:hAnsi="Arial" w:cs="Arial"/>
          <w:i/>
          <w:iCs/>
          <w:szCs w:val="24"/>
        </w:rPr>
        <w:t>et al</w:t>
      </w:r>
      <w:r w:rsidRPr="00312389">
        <w:rPr>
          <w:rFonts w:ascii="Arial" w:hAnsi="Arial" w:cs="Arial"/>
          <w:szCs w:val="24"/>
        </w:rPr>
        <w:t xml:space="preserve">., 2012). These essentialities are </w:t>
      </w:r>
      <w:r w:rsidRPr="00312389">
        <w:rPr>
          <w:rFonts w:ascii="Arial" w:hAnsi="Arial" w:cs="Arial"/>
          <w:szCs w:val="24"/>
        </w:rPr>
        <w:lastRenderedPageBreak/>
        <w:t xml:space="preserve">purchaser and provider confidence, regulatory compliance, operational, and </w:t>
      </w:r>
      <w:proofErr w:type="spellStart"/>
      <w:r w:rsidRPr="00312389">
        <w:rPr>
          <w:rFonts w:ascii="Arial" w:hAnsi="Arial" w:cs="Arial"/>
          <w:szCs w:val="24"/>
        </w:rPr>
        <w:t>strategical</w:t>
      </w:r>
      <w:proofErr w:type="spellEnd"/>
      <w:r w:rsidRPr="00312389">
        <w:rPr>
          <w:rFonts w:ascii="Arial" w:hAnsi="Arial" w:cs="Arial"/>
          <w:szCs w:val="24"/>
        </w:rPr>
        <w:t xml:space="preserve"> management; therefore, decision-makers must be strategic. The fulfilment must ensure the prerequisites within contracts and standards.</w:t>
      </w:r>
    </w:p>
    <w:p w14:paraId="1EFAC5F8" w14:textId="556384C5" w:rsidR="006B79BB" w:rsidRDefault="008D467E" w:rsidP="006B79BB">
      <w:pPr>
        <w:spacing w:line="480" w:lineRule="auto"/>
        <w:ind w:firstLine="576"/>
        <w:jc w:val="both"/>
        <w:rPr>
          <w:rFonts w:ascii="Arial" w:hAnsi="Arial" w:cs="Arial"/>
          <w:szCs w:val="24"/>
        </w:rPr>
      </w:pPr>
      <w:r w:rsidRPr="00312389">
        <w:rPr>
          <w:rFonts w:ascii="Arial" w:hAnsi="Arial" w:cs="Arial"/>
          <w:szCs w:val="24"/>
        </w:rPr>
        <w:t xml:space="preserve">Furthermore, UK's SME decision-makers must oversee the idea of business connections as well an ensuring the enforcement of each element by the applicable legislation. Any matter of choice must coexist within the prevailing information security frameworks and standards (Shackelford, 2012; Hayes and </w:t>
      </w:r>
      <w:proofErr w:type="spellStart"/>
      <w:r w:rsidRPr="00312389">
        <w:rPr>
          <w:rFonts w:ascii="Arial" w:hAnsi="Arial" w:cs="Arial"/>
          <w:szCs w:val="24"/>
        </w:rPr>
        <w:t>Bodhani</w:t>
      </w:r>
      <w:proofErr w:type="spellEnd"/>
      <w:r w:rsidRPr="00312389">
        <w:rPr>
          <w:rFonts w:ascii="Arial" w:hAnsi="Arial" w:cs="Arial"/>
          <w:szCs w:val="24"/>
        </w:rPr>
        <w:t>, 2013). The decision on the choice of rule and structure by the practitioners should help to guarantee the use of accurate measurement to oversee information security for the business (</w:t>
      </w:r>
      <w:proofErr w:type="spellStart"/>
      <w:r w:rsidRPr="00312389">
        <w:rPr>
          <w:rFonts w:ascii="Arial" w:hAnsi="Arial" w:cs="Arial"/>
          <w:szCs w:val="24"/>
        </w:rPr>
        <w:t>Azmi</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2018; </w:t>
      </w:r>
      <w:r w:rsidRPr="00312389">
        <w:rPr>
          <w:rFonts w:ascii="Arial" w:hAnsi="Arial" w:cs="Arial"/>
          <w:color w:val="222222"/>
          <w:szCs w:val="24"/>
          <w:shd w:val="clear" w:color="auto" w:fill="FFFFFF"/>
        </w:rPr>
        <w:t xml:space="preserve">Hubbard and </w:t>
      </w:r>
      <w:proofErr w:type="spellStart"/>
      <w:r w:rsidRPr="00312389">
        <w:rPr>
          <w:rFonts w:ascii="Arial" w:hAnsi="Arial" w:cs="Arial"/>
          <w:color w:val="222222"/>
          <w:szCs w:val="24"/>
          <w:shd w:val="clear" w:color="auto" w:fill="FFFFFF"/>
        </w:rPr>
        <w:t>Seiersen</w:t>
      </w:r>
      <w:proofErr w:type="spellEnd"/>
      <w:r w:rsidRPr="00312389">
        <w:rPr>
          <w:rFonts w:ascii="Arial" w:hAnsi="Arial" w:cs="Arial"/>
          <w:color w:val="222222"/>
          <w:szCs w:val="24"/>
          <w:shd w:val="clear" w:color="auto" w:fill="FFFFFF"/>
        </w:rPr>
        <w:t xml:space="preserve">, 2016; </w:t>
      </w:r>
      <w:r w:rsidRPr="00312389">
        <w:rPr>
          <w:rFonts w:ascii="Arial" w:hAnsi="Arial" w:cs="Arial"/>
          <w:szCs w:val="24"/>
        </w:rPr>
        <w:t>OECD, 2002). According to OECD (2012), such an approach helps in achieving scalability and provides an analytical approach to implementable cyber policy. With this essence of ITG framework, it could help in the identification of critical metrics for the uptake of SMEs in decision-making (</w:t>
      </w:r>
      <w:r w:rsidRPr="00312389">
        <w:rPr>
          <w:rFonts w:ascii="Arial" w:hAnsi="Arial" w:cs="Arial"/>
          <w:color w:val="222222"/>
          <w:szCs w:val="24"/>
          <w:shd w:val="clear" w:color="auto" w:fill="FFFFFF"/>
        </w:rPr>
        <w:t xml:space="preserve">McCarthy, 2009; </w:t>
      </w:r>
      <w:proofErr w:type="spellStart"/>
      <w:r w:rsidRPr="00312389">
        <w:rPr>
          <w:rFonts w:ascii="Arial" w:hAnsi="Arial" w:cs="Arial"/>
          <w:szCs w:val="24"/>
        </w:rPr>
        <w:t>Pawlak</w:t>
      </w:r>
      <w:proofErr w:type="spellEnd"/>
      <w:r w:rsidRPr="00312389">
        <w:rPr>
          <w:rFonts w:ascii="Arial" w:hAnsi="Arial" w:cs="Arial"/>
          <w:szCs w:val="24"/>
        </w:rPr>
        <w:t xml:space="preserve"> and </w:t>
      </w:r>
      <w:proofErr w:type="spellStart"/>
      <w:r w:rsidRPr="00312389">
        <w:rPr>
          <w:rFonts w:ascii="Arial" w:hAnsi="Arial" w:cs="Arial"/>
          <w:szCs w:val="24"/>
        </w:rPr>
        <w:t>Barmpaliou</w:t>
      </w:r>
      <w:proofErr w:type="spellEnd"/>
      <w:r w:rsidRPr="00312389">
        <w:rPr>
          <w:rFonts w:ascii="Arial" w:hAnsi="Arial" w:cs="Arial"/>
          <w:szCs w:val="24"/>
        </w:rPr>
        <w:t xml:space="preserve">, 2017; </w:t>
      </w:r>
      <w:proofErr w:type="spellStart"/>
      <w:r w:rsidRPr="00312389">
        <w:rPr>
          <w:rFonts w:ascii="Arial" w:hAnsi="Arial" w:cs="Arial"/>
          <w:szCs w:val="24"/>
        </w:rPr>
        <w:t>Tiirmaa-Klaar</w:t>
      </w:r>
      <w:proofErr w:type="spellEnd"/>
      <w:r w:rsidRPr="00312389">
        <w:rPr>
          <w:rFonts w:ascii="Arial" w:hAnsi="Arial" w:cs="Arial"/>
          <w:szCs w:val="24"/>
        </w:rPr>
        <w:t>, 2016).</w:t>
      </w:r>
      <w:r w:rsidR="006B79BB">
        <w:rPr>
          <w:rFonts w:ascii="Arial" w:hAnsi="Arial" w:cs="Arial"/>
          <w:szCs w:val="24"/>
        </w:rPr>
        <w:t xml:space="preserve"> </w:t>
      </w:r>
    </w:p>
    <w:p w14:paraId="236B97DD" w14:textId="634A0A12" w:rsidR="006B79BB" w:rsidRDefault="00C6388A" w:rsidP="006B79BB">
      <w:pPr>
        <w:spacing w:line="480" w:lineRule="auto"/>
        <w:ind w:firstLine="576"/>
        <w:jc w:val="both"/>
        <w:rPr>
          <w:rFonts w:ascii="Arial" w:hAnsi="Arial" w:cs="Arial"/>
          <w:color w:val="000000"/>
          <w:szCs w:val="24"/>
        </w:rPr>
      </w:pPr>
      <w:r w:rsidRPr="00C6388A">
        <w:rPr>
          <w:rFonts w:ascii="Arial" w:hAnsi="Arial" w:cs="Arial"/>
          <w:color w:val="000000"/>
          <w:szCs w:val="24"/>
        </w:rPr>
        <w:t>Client and Supplier certainty – by exhibiting to clients and providers using independent confirmation and affirmation, that the organisation has embraced and executed information security best practice. By such adherence, UK's SME Aviation would create a global competitive advantage in the highly competitive market it operates. With effective ITG policy, organisations could certainly ensure that they made the best choice. Decision-makers with such strategy of providing best practice will meet statutory and administrative prerequisites. Indeed, this is regular to all business and particularly inside the market area. With the appropriate IA&amp;RM, UK's SME Aviation will become an internally viable organisation, anchor new open doors as the industry becomes integrated and globally evolving (</w:t>
      </w:r>
      <w:proofErr w:type="spellStart"/>
      <w:r w:rsidR="00301B4E">
        <w:rPr>
          <w:rFonts w:ascii="Arial" w:hAnsi="Arial" w:cs="Arial"/>
          <w:color w:val="000000"/>
          <w:szCs w:val="24"/>
        </w:rPr>
        <w:t>Ademola</w:t>
      </w:r>
      <w:proofErr w:type="spellEnd"/>
      <w:r w:rsidR="000C2F6E">
        <w:rPr>
          <w:rFonts w:ascii="Arial" w:hAnsi="Arial" w:cs="Arial"/>
          <w:color w:val="000000"/>
          <w:szCs w:val="24"/>
        </w:rPr>
        <w:t xml:space="preserve">, 2021; </w:t>
      </w:r>
      <w:r w:rsidRPr="00C6388A">
        <w:rPr>
          <w:rFonts w:ascii="Arial" w:hAnsi="Arial" w:cs="Arial"/>
          <w:color w:val="000000"/>
          <w:szCs w:val="24"/>
        </w:rPr>
        <w:t xml:space="preserve">Dahlberg </w:t>
      </w:r>
      <w:r w:rsidRPr="00C6388A">
        <w:rPr>
          <w:rFonts w:ascii="Arial" w:hAnsi="Arial" w:cs="Arial"/>
          <w:color w:val="000000"/>
          <w:szCs w:val="24"/>
        </w:rPr>
        <w:lastRenderedPageBreak/>
        <w:t xml:space="preserve">and </w:t>
      </w:r>
      <w:proofErr w:type="spellStart"/>
      <w:r w:rsidRPr="00C6388A">
        <w:rPr>
          <w:rFonts w:ascii="Arial" w:hAnsi="Arial" w:cs="Arial"/>
          <w:color w:val="000000"/>
          <w:szCs w:val="24"/>
        </w:rPr>
        <w:t>Kivijarvi</w:t>
      </w:r>
      <w:proofErr w:type="spellEnd"/>
      <w:r w:rsidRPr="00C6388A">
        <w:rPr>
          <w:rFonts w:ascii="Arial" w:hAnsi="Arial" w:cs="Arial"/>
          <w:color w:val="000000"/>
          <w:szCs w:val="24"/>
        </w:rPr>
        <w:t xml:space="preserve">, 2006; </w:t>
      </w:r>
      <w:proofErr w:type="spellStart"/>
      <w:r w:rsidRPr="00C6388A">
        <w:rPr>
          <w:rFonts w:ascii="Arial" w:hAnsi="Arial" w:cs="Arial"/>
          <w:color w:val="000000"/>
          <w:szCs w:val="24"/>
        </w:rPr>
        <w:t>GreenPope</w:t>
      </w:r>
      <w:proofErr w:type="spellEnd"/>
      <w:r w:rsidRPr="00C6388A">
        <w:rPr>
          <w:rFonts w:ascii="Arial" w:hAnsi="Arial" w:cs="Arial"/>
          <w:color w:val="000000"/>
          <w:szCs w:val="24"/>
        </w:rPr>
        <w:t xml:space="preserve"> </w:t>
      </w:r>
      <w:r w:rsidR="00B50415" w:rsidRPr="00B50415">
        <w:rPr>
          <w:rFonts w:ascii="Arial" w:hAnsi="Arial" w:cs="Arial"/>
          <w:i/>
          <w:iCs/>
          <w:color w:val="000000"/>
          <w:szCs w:val="24"/>
        </w:rPr>
        <w:t>et al</w:t>
      </w:r>
      <w:r w:rsidRPr="00C6388A">
        <w:rPr>
          <w:rFonts w:ascii="Arial" w:hAnsi="Arial" w:cs="Arial"/>
          <w:color w:val="000000"/>
          <w:szCs w:val="24"/>
        </w:rPr>
        <w:t xml:space="preserve">., 2010; Hubbard and </w:t>
      </w:r>
      <w:proofErr w:type="spellStart"/>
      <w:r w:rsidRPr="00C6388A">
        <w:rPr>
          <w:rFonts w:ascii="Arial" w:hAnsi="Arial" w:cs="Arial"/>
          <w:color w:val="000000"/>
          <w:szCs w:val="24"/>
        </w:rPr>
        <w:t>Seiersen</w:t>
      </w:r>
      <w:proofErr w:type="spellEnd"/>
      <w:r w:rsidRPr="00C6388A">
        <w:rPr>
          <w:rFonts w:ascii="Arial" w:hAnsi="Arial" w:cs="Arial"/>
          <w:color w:val="000000"/>
          <w:szCs w:val="24"/>
        </w:rPr>
        <w:t xml:space="preserve">, 2016). </w:t>
      </w:r>
      <w:proofErr w:type="spellStart"/>
      <w:r w:rsidRPr="00C6388A">
        <w:rPr>
          <w:rFonts w:ascii="Arial" w:hAnsi="Arial" w:cs="Arial"/>
          <w:color w:val="000000"/>
          <w:szCs w:val="24"/>
        </w:rPr>
        <w:t>Carr</w:t>
      </w:r>
      <w:proofErr w:type="spellEnd"/>
      <w:r w:rsidRPr="00C6388A">
        <w:rPr>
          <w:rFonts w:ascii="Arial" w:hAnsi="Arial" w:cs="Arial"/>
          <w:color w:val="000000"/>
          <w:szCs w:val="24"/>
        </w:rPr>
        <w:t xml:space="preserve"> and </w:t>
      </w:r>
      <w:proofErr w:type="spellStart"/>
      <w:r w:rsidRPr="00C6388A">
        <w:rPr>
          <w:rFonts w:ascii="Arial" w:hAnsi="Arial" w:cs="Arial"/>
          <w:color w:val="000000"/>
          <w:szCs w:val="24"/>
        </w:rPr>
        <w:t>Tanczer</w:t>
      </w:r>
      <w:proofErr w:type="spellEnd"/>
      <w:r w:rsidRPr="00C6388A">
        <w:rPr>
          <w:rFonts w:ascii="Arial" w:hAnsi="Arial" w:cs="Arial"/>
          <w:color w:val="000000"/>
          <w:szCs w:val="24"/>
        </w:rPr>
        <w:t xml:space="preserve"> (2018) asserted that by maintaining the appropriate level UK cybersecurity industrial policy and information assurance, organisations would be more proficient and successful while overseeing information of others and its assets.</w:t>
      </w:r>
      <w:r w:rsidR="006B79BB">
        <w:rPr>
          <w:rFonts w:ascii="Arial" w:hAnsi="Arial" w:cs="Arial"/>
          <w:color w:val="000000"/>
          <w:szCs w:val="24"/>
        </w:rPr>
        <w:t xml:space="preserve"> </w:t>
      </w:r>
    </w:p>
    <w:p w14:paraId="7CC962C5" w14:textId="30D69AD6" w:rsidR="009A0483" w:rsidRDefault="009A0483" w:rsidP="006B79BB">
      <w:pPr>
        <w:spacing w:line="480" w:lineRule="auto"/>
        <w:ind w:firstLine="576"/>
        <w:jc w:val="both"/>
        <w:rPr>
          <w:rFonts w:ascii="Arial" w:hAnsi="Arial" w:cs="Arial"/>
          <w:color w:val="000000"/>
          <w:szCs w:val="24"/>
        </w:rPr>
      </w:pPr>
      <w:r w:rsidRPr="009A0483">
        <w:rPr>
          <w:rFonts w:ascii="Arial" w:hAnsi="Arial" w:cs="Arial"/>
          <w:color w:val="000000"/>
          <w:szCs w:val="24"/>
        </w:rPr>
        <w:t>However, with a lack of proper IA&amp;RM guidance, new open doors will be hard to scale in cybersecurity considering the challenge of limited resources available to the UK's SME Aviation.</w:t>
      </w:r>
      <w:r w:rsidR="00595E35">
        <w:rPr>
          <w:rFonts w:ascii="Arial" w:hAnsi="Arial" w:cs="Arial"/>
          <w:color w:val="000000"/>
          <w:szCs w:val="24"/>
        </w:rPr>
        <w:t xml:space="preserve"> </w:t>
      </w:r>
      <w:r w:rsidRPr="009A0483">
        <w:rPr>
          <w:rFonts w:ascii="Arial" w:hAnsi="Arial" w:cs="Arial"/>
          <w:color w:val="000000"/>
          <w:szCs w:val="24"/>
        </w:rPr>
        <w:t>Subsequently, the impact could lead to lessening proficiency of decision-makers, and there could be a severe consequence that could lead to business extinction (</w:t>
      </w:r>
      <w:proofErr w:type="spellStart"/>
      <w:r w:rsidRPr="009A0483">
        <w:rPr>
          <w:rFonts w:ascii="Arial" w:hAnsi="Arial" w:cs="Arial"/>
          <w:color w:val="000000"/>
          <w:szCs w:val="24"/>
        </w:rPr>
        <w:t>Ademola</w:t>
      </w:r>
      <w:proofErr w:type="spellEnd"/>
      <w:r w:rsidRPr="009A0483">
        <w:rPr>
          <w:rFonts w:ascii="Arial" w:hAnsi="Arial" w:cs="Arial"/>
          <w:color w:val="000000"/>
          <w:szCs w:val="24"/>
        </w:rPr>
        <w:t xml:space="preserve">, 2019; </w:t>
      </w:r>
      <w:proofErr w:type="spellStart"/>
      <w:r w:rsidRPr="009A0483">
        <w:rPr>
          <w:rFonts w:ascii="Arial" w:hAnsi="Arial" w:cs="Arial"/>
          <w:color w:val="000000"/>
          <w:szCs w:val="24"/>
        </w:rPr>
        <w:t>Carr</w:t>
      </w:r>
      <w:proofErr w:type="spellEnd"/>
      <w:r w:rsidRPr="009A0483">
        <w:rPr>
          <w:rFonts w:ascii="Arial" w:hAnsi="Arial" w:cs="Arial"/>
          <w:color w:val="000000"/>
          <w:szCs w:val="24"/>
        </w:rPr>
        <w:t xml:space="preserve"> and </w:t>
      </w:r>
      <w:proofErr w:type="spellStart"/>
      <w:r w:rsidRPr="009A0483">
        <w:rPr>
          <w:rFonts w:ascii="Arial" w:hAnsi="Arial" w:cs="Arial"/>
          <w:color w:val="000000"/>
          <w:szCs w:val="24"/>
        </w:rPr>
        <w:t>Tanczer</w:t>
      </w:r>
      <w:proofErr w:type="spellEnd"/>
      <w:r w:rsidRPr="009A0483">
        <w:rPr>
          <w:rFonts w:ascii="Arial" w:hAnsi="Arial" w:cs="Arial"/>
          <w:color w:val="000000"/>
          <w:szCs w:val="24"/>
        </w:rPr>
        <w:t>, 2018; OECD, 2012).</w:t>
      </w:r>
    </w:p>
    <w:p w14:paraId="0B6B88C9" w14:textId="1211D097" w:rsidR="006B79BB" w:rsidRDefault="008D467E" w:rsidP="006B79BB">
      <w:pPr>
        <w:spacing w:line="480" w:lineRule="auto"/>
        <w:ind w:firstLine="576"/>
        <w:jc w:val="both"/>
        <w:rPr>
          <w:rFonts w:ascii="Arial" w:hAnsi="Arial" w:cs="Arial"/>
          <w:szCs w:val="24"/>
        </w:rPr>
      </w:pPr>
      <w:r w:rsidRPr="00312389">
        <w:rPr>
          <w:rFonts w:ascii="Arial" w:hAnsi="Arial" w:cs="Arial"/>
          <w:szCs w:val="24"/>
        </w:rPr>
        <w:t>Consequently, a strategy for security culture and managing cybersecurity risk suffice to depict that security culture change within SMEs is not a monolithic phenomenon. Security culture and awareness over time spread and develop exponentially. Decision-makers with the collective motivation of all the SMEs' employees are the best scaling approach to a security solution. Mainly, UK's SME Aviation's larger corporation clients and providers want to exchange with sectors that consistently, could exhibit appropriate IA&amp;RM outlook as it could afford the business a robust competitive advantage (</w:t>
      </w:r>
      <w:proofErr w:type="spellStart"/>
      <w:r w:rsidR="00943923">
        <w:rPr>
          <w:rFonts w:ascii="Arial" w:hAnsi="Arial" w:cs="Arial"/>
          <w:szCs w:val="24"/>
        </w:rPr>
        <w:t>Ademola</w:t>
      </w:r>
      <w:proofErr w:type="spellEnd"/>
      <w:r w:rsidR="00943923">
        <w:rPr>
          <w:rFonts w:ascii="Arial" w:hAnsi="Arial" w:cs="Arial"/>
          <w:szCs w:val="24"/>
        </w:rPr>
        <w:t xml:space="preserve">, 2021; </w:t>
      </w:r>
      <w:r w:rsidRPr="00312389">
        <w:rPr>
          <w:rFonts w:ascii="Arial" w:hAnsi="Arial" w:cs="Arial"/>
          <w:szCs w:val="24"/>
        </w:rPr>
        <w:t xml:space="preserve">Aggarwal and </w:t>
      </w:r>
      <w:proofErr w:type="spellStart"/>
      <w:r w:rsidRPr="00312389">
        <w:rPr>
          <w:rFonts w:ascii="Arial" w:hAnsi="Arial" w:cs="Arial"/>
          <w:szCs w:val="24"/>
        </w:rPr>
        <w:t>Reddie</w:t>
      </w:r>
      <w:proofErr w:type="spellEnd"/>
      <w:r w:rsidRPr="00312389">
        <w:rPr>
          <w:rFonts w:ascii="Arial" w:hAnsi="Arial" w:cs="Arial"/>
          <w:szCs w:val="24"/>
        </w:rPr>
        <w:t xml:space="preserve">, 2018; </w:t>
      </w:r>
      <w:proofErr w:type="spellStart"/>
      <w:r w:rsidRPr="00312389">
        <w:rPr>
          <w:rFonts w:ascii="Arial" w:hAnsi="Arial" w:cs="Arial"/>
          <w:szCs w:val="24"/>
        </w:rPr>
        <w:t>D'Elia</w:t>
      </w:r>
      <w:proofErr w:type="spellEnd"/>
      <w:r w:rsidRPr="00312389">
        <w:rPr>
          <w:rFonts w:ascii="Arial" w:hAnsi="Arial" w:cs="Arial"/>
          <w:szCs w:val="24"/>
        </w:rPr>
        <w:t xml:space="preserve">, 2018; </w:t>
      </w:r>
      <w:proofErr w:type="spellStart"/>
      <w:r w:rsidRPr="00312389">
        <w:rPr>
          <w:rFonts w:ascii="Arial" w:hAnsi="Arial" w:cs="Arial"/>
          <w:szCs w:val="24"/>
        </w:rPr>
        <w:t>Mosteller</w:t>
      </w:r>
      <w:proofErr w:type="spellEnd"/>
      <w:r w:rsidRPr="00312389">
        <w:rPr>
          <w:rFonts w:ascii="Arial" w:hAnsi="Arial" w:cs="Arial"/>
          <w:szCs w:val="24"/>
        </w:rPr>
        <w:t xml:space="preserve"> and </w:t>
      </w:r>
      <w:proofErr w:type="spellStart"/>
      <w:r w:rsidRPr="00312389">
        <w:rPr>
          <w:rFonts w:ascii="Arial" w:hAnsi="Arial" w:cs="Arial"/>
          <w:szCs w:val="24"/>
        </w:rPr>
        <w:t>Poddar</w:t>
      </w:r>
      <w:proofErr w:type="spellEnd"/>
      <w:r w:rsidRPr="00312389">
        <w:rPr>
          <w:rFonts w:ascii="Arial" w:hAnsi="Arial" w:cs="Arial"/>
          <w:szCs w:val="24"/>
        </w:rPr>
        <w:t>, 2017).</w:t>
      </w:r>
      <w:r w:rsidR="006B79BB">
        <w:rPr>
          <w:rFonts w:ascii="Arial" w:hAnsi="Arial" w:cs="Arial"/>
          <w:szCs w:val="24"/>
        </w:rPr>
        <w:t xml:space="preserve"> </w:t>
      </w:r>
    </w:p>
    <w:p w14:paraId="49647740" w14:textId="4B5EB5A6" w:rsidR="006D7FC6" w:rsidRPr="00312389" w:rsidRDefault="008D467E" w:rsidP="006B79BB">
      <w:pPr>
        <w:spacing w:line="480" w:lineRule="auto"/>
        <w:ind w:firstLine="576"/>
        <w:jc w:val="both"/>
        <w:rPr>
          <w:rFonts w:ascii="Arial" w:hAnsi="Arial" w:cs="Arial"/>
          <w:szCs w:val="24"/>
        </w:rPr>
      </w:pPr>
      <w:r w:rsidRPr="00312389">
        <w:rPr>
          <w:rFonts w:ascii="Arial" w:hAnsi="Arial" w:cs="Arial"/>
          <w:szCs w:val="24"/>
        </w:rPr>
        <w:t xml:space="preserve">This chapter has described the data, analyse it, compare the secondary data findings against the literature review findings. The concluding section will reflect on the preceding chapters in other to formulate recommendations. </w:t>
      </w:r>
    </w:p>
    <w:p w14:paraId="7DC46A8B" w14:textId="5B720AD5" w:rsidR="006D7FC6" w:rsidRPr="00312389" w:rsidRDefault="006D7FC6" w:rsidP="00D40EBB">
      <w:pPr>
        <w:pStyle w:val="Heading1"/>
        <w:spacing w:line="480" w:lineRule="auto"/>
        <w:rPr>
          <w:rFonts w:ascii="Arial" w:hAnsi="Arial" w:cs="Arial"/>
        </w:rPr>
      </w:pPr>
      <w:bookmarkStart w:id="44" w:name="_Toc72189394"/>
      <w:bookmarkEnd w:id="43"/>
      <w:r w:rsidRPr="00312389">
        <w:rPr>
          <w:rFonts w:ascii="Arial" w:hAnsi="Arial" w:cs="Arial"/>
        </w:rPr>
        <w:lastRenderedPageBreak/>
        <w:t>Conclusions and Recommendations</w:t>
      </w:r>
      <w:bookmarkEnd w:id="44"/>
    </w:p>
    <w:p w14:paraId="6B77EFCA" w14:textId="41167E39" w:rsidR="007E0F66" w:rsidRPr="00312389" w:rsidRDefault="007E0F66" w:rsidP="006B79BB">
      <w:pPr>
        <w:pStyle w:val="NoSpacing"/>
        <w:spacing w:line="480" w:lineRule="auto"/>
        <w:ind w:firstLine="360"/>
        <w:jc w:val="both"/>
        <w:rPr>
          <w:rFonts w:ascii="Arial" w:hAnsi="Arial" w:cs="Arial"/>
          <w:sz w:val="24"/>
          <w:szCs w:val="24"/>
        </w:rPr>
      </w:pPr>
      <w:r w:rsidRPr="00312389">
        <w:rPr>
          <w:rFonts w:ascii="Arial" w:hAnsi="Arial" w:cs="Arial"/>
          <w:sz w:val="24"/>
          <w:szCs w:val="24"/>
        </w:rPr>
        <w:t>The study was to highlight developing issues and explore the relationship between ITG and MSGS for decision-makers within the UK’s SME Aviation. The specific research objectives were to:</w:t>
      </w:r>
    </w:p>
    <w:p w14:paraId="35BECD9D" w14:textId="77777777" w:rsidR="007443E0" w:rsidRPr="0096177C" w:rsidRDefault="007443E0" w:rsidP="007443E0">
      <w:pPr>
        <w:pStyle w:val="ListParagraph"/>
        <w:numPr>
          <w:ilvl w:val="0"/>
          <w:numId w:val="22"/>
        </w:numPr>
        <w:spacing w:after="84" w:line="480" w:lineRule="auto"/>
        <w:ind w:right="-14"/>
        <w:jc w:val="both"/>
        <w:rPr>
          <w:rFonts w:ascii="Arial" w:hAnsi="Arial" w:cs="Arial"/>
          <w:color w:val="000000"/>
          <w:szCs w:val="24"/>
        </w:rPr>
      </w:pPr>
      <w:r w:rsidRPr="0096177C">
        <w:rPr>
          <w:rFonts w:ascii="Arial" w:hAnsi="Arial" w:cs="Arial"/>
          <w:color w:val="000000"/>
          <w:szCs w:val="24"/>
        </w:rPr>
        <w:t>Analyse the linkages between ITG and MSGS to the implementation of a cyber policy</w:t>
      </w:r>
    </w:p>
    <w:p w14:paraId="73E2DE38" w14:textId="77777777" w:rsidR="007443E0" w:rsidRPr="0096177C" w:rsidRDefault="007443E0" w:rsidP="007443E0">
      <w:pPr>
        <w:pStyle w:val="ListParagraph"/>
        <w:numPr>
          <w:ilvl w:val="0"/>
          <w:numId w:val="22"/>
        </w:numPr>
        <w:spacing w:after="84" w:line="480" w:lineRule="auto"/>
        <w:ind w:right="-14"/>
        <w:jc w:val="both"/>
        <w:rPr>
          <w:rFonts w:ascii="Arial" w:hAnsi="Arial" w:cs="Arial"/>
          <w:color w:val="000000"/>
          <w:szCs w:val="24"/>
        </w:rPr>
      </w:pPr>
      <w:r w:rsidRPr="0096177C">
        <w:rPr>
          <w:rFonts w:ascii="Arial" w:hAnsi="Arial" w:cs="Arial"/>
          <w:color w:val="000000"/>
          <w:szCs w:val="24"/>
        </w:rPr>
        <w:t>Explore scaling and scalability mechanisms related to decision making strategy tools</w:t>
      </w:r>
    </w:p>
    <w:p w14:paraId="6173F08B" w14:textId="77777777" w:rsidR="007443E0" w:rsidRPr="0096177C" w:rsidRDefault="007443E0" w:rsidP="007443E0">
      <w:pPr>
        <w:pStyle w:val="ListParagraph"/>
        <w:numPr>
          <w:ilvl w:val="0"/>
          <w:numId w:val="22"/>
        </w:numPr>
        <w:spacing w:after="84" w:line="480" w:lineRule="auto"/>
        <w:ind w:right="-14"/>
        <w:jc w:val="both"/>
        <w:rPr>
          <w:rFonts w:ascii="Arial" w:hAnsi="Arial" w:cs="Arial"/>
          <w:color w:val="000000"/>
          <w:szCs w:val="24"/>
        </w:rPr>
      </w:pPr>
      <w:r w:rsidRPr="0096177C">
        <w:rPr>
          <w:rFonts w:ascii="Arial" w:hAnsi="Arial" w:cs="Arial"/>
          <w:color w:val="000000"/>
          <w:szCs w:val="24"/>
        </w:rPr>
        <w:t>Investigate how the vulnerability of ITG models and MSGS correlate to supporting decision-makers</w:t>
      </w:r>
    </w:p>
    <w:p w14:paraId="37DFFB68" w14:textId="77777777" w:rsidR="007443E0" w:rsidRPr="0096177C" w:rsidRDefault="007443E0" w:rsidP="007443E0">
      <w:pPr>
        <w:pStyle w:val="ListParagraph"/>
        <w:numPr>
          <w:ilvl w:val="0"/>
          <w:numId w:val="22"/>
        </w:numPr>
        <w:spacing w:after="84" w:line="480" w:lineRule="auto"/>
        <w:ind w:right="-14"/>
        <w:jc w:val="both"/>
        <w:rPr>
          <w:rFonts w:ascii="Arial" w:hAnsi="Arial" w:cs="Arial"/>
          <w:color w:val="000000"/>
          <w:szCs w:val="24"/>
        </w:rPr>
      </w:pPr>
      <w:r w:rsidRPr="0096177C">
        <w:rPr>
          <w:rFonts w:ascii="Arial" w:hAnsi="Arial" w:cs="Arial"/>
          <w:color w:val="000000"/>
          <w:szCs w:val="24"/>
        </w:rPr>
        <w:t>Theorise scaling as a security strategy in coping with ITG implementation.</w:t>
      </w:r>
    </w:p>
    <w:p w14:paraId="26BCA8BD" w14:textId="77777777" w:rsidR="007443E0" w:rsidRPr="0096177C" w:rsidRDefault="007443E0" w:rsidP="007443E0">
      <w:pPr>
        <w:pStyle w:val="ListParagraph"/>
        <w:numPr>
          <w:ilvl w:val="0"/>
          <w:numId w:val="22"/>
        </w:numPr>
        <w:spacing w:after="84" w:line="480" w:lineRule="auto"/>
        <w:ind w:right="-14"/>
        <w:jc w:val="both"/>
        <w:rPr>
          <w:rFonts w:ascii="Arial" w:hAnsi="Arial" w:cs="Arial"/>
          <w:color w:val="000000"/>
          <w:szCs w:val="24"/>
        </w:rPr>
      </w:pPr>
      <w:r w:rsidRPr="0096177C">
        <w:rPr>
          <w:rFonts w:ascii="Arial" w:hAnsi="Arial" w:cs="Arial"/>
          <w:color w:val="000000"/>
          <w:szCs w:val="24"/>
        </w:rPr>
        <w:t>Discuss the decision-making scalability mechanism to the successful implementation of ITG within SME Aviation.</w:t>
      </w:r>
    </w:p>
    <w:p w14:paraId="2EA219FA" w14:textId="77777777" w:rsidR="007443E0" w:rsidRPr="0096177C" w:rsidRDefault="007443E0" w:rsidP="007443E0">
      <w:pPr>
        <w:pStyle w:val="ListParagraph"/>
        <w:numPr>
          <w:ilvl w:val="0"/>
          <w:numId w:val="22"/>
        </w:numPr>
        <w:spacing w:after="84" w:line="480" w:lineRule="auto"/>
        <w:ind w:right="-14"/>
        <w:jc w:val="both"/>
        <w:rPr>
          <w:rFonts w:ascii="Arial" w:eastAsia="Times New Roman" w:hAnsi="Arial" w:cs="Arial"/>
          <w:color w:val="252936"/>
          <w:szCs w:val="24"/>
        </w:rPr>
      </w:pPr>
      <w:r w:rsidRPr="0096177C">
        <w:rPr>
          <w:rFonts w:ascii="Arial" w:hAnsi="Arial" w:cs="Arial"/>
          <w:color w:val="000000"/>
          <w:szCs w:val="24"/>
        </w:rPr>
        <w:t>Formulate recommendations on cyber policy implementation challenges in SME Aviation.</w:t>
      </w:r>
    </w:p>
    <w:p w14:paraId="733716C9" w14:textId="126D88B6" w:rsidR="007E0F66" w:rsidRPr="00312389" w:rsidRDefault="007E0F66" w:rsidP="006B79BB">
      <w:pPr>
        <w:spacing w:line="480" w:lineRule="auto"/>
        <w:ind w:firstLine="360"/>
        <w:jc w:val="both"/>
        <w:rPr>
          <w:rFonts w:ascii="Arial" w:hAnsi="Arial" w:cs="Arial"/>
          <w:szCs w:val="24"/>
        </w:rPr>
      </w:pPr>
      <w:r w:rsidRPr="00312389">
        <w:rPr>
          <w:rFonts w:ascii="Arial" w:hAnsi="Arial" w:cs="Arial"/>
          <w:szCs w:val="24"/>
        </w:rPr>
        <w:t xml:space="preserve">This section will revisit the study objectives above, summarise the findings of this research work, formulate recommendations to fulfil objective 6, reflect on the research process, and provide guidance on how this study can be progressed and offer conclusions based on the findings. </w:t>
      </w:r>
    </w:p>
    <w:p w14:paraId="6BCC281C" w14:textId="626BC2CF" w:rsidR="006D7FC6" w:rsidRPr="00312389" w:rsidRDefault="006D7FC6" w:rsidP="00D40EBB">
      <w:pPr>
        <w:pStyle w:val="Heading2"/>
        <w:spacing w:line="480" w:lineRule="auto"/>
        <w:rPr>
          <w:rFonts w:ascii="Arial" w:hAnsi="Arial" w:cs="Arial"/>
        </w:rPr>
      </w:pPr>
      <w:bookmarkStart w:id="45" w:name="_Toc72189395"/>
      <w:r w:rsidRPr="00312389">
        <w:rPr>
          <w:rFonts w:ascii="Arial" w:hAnsi="Arial" w:cs="Arial"/>
        </w:rPr>
        <w:lastRenderedPageBreak/>
        <w:t>Research Objectives: Summary of Findings and Conclusions</w:t>
      </w:r>
      <w:bookmarkEnd w:id="45"/>
      <w:r w:rsidRPr="00312389">
        <w:rPr>
          <w:rFonts w:ascii="Arial" w:hAnsi="Arial" w:cs="Arial"/>
        </w:rPr>
        <w:t xml:space="preserve"> </w:t>
      </w:r>
    </w:p>
    <w:p w14:paraId="1454739D" w14:textId="34A46ABF" w:rsidR="006D7FC6" w:rsidRPr="00312389" w:rsidRDefault="006D7FC6" w:rsidP="00D40EBB">
      <w:pPr>
        <w:pStyle w:val="Heading3"/>
        <w:spacing w:line="480" w:lineRule="auto"/>
        <w:rPr>
          <w:rFonts w:ascii="Arial" w:hAnsi="Arial" w:cs="Arial"/>
        </w:rPr>
      </w:pPr>
      <w:r w:rsidRPr="00312389">
        <w:rPr>
          <w:rFonts w:ascii="Arial" w:hAnsi="Arial" w:cs="Arial"/>
        </w:rPr>
        <w:t>Objective 1</w:t>
      </w:r>
      <w:r w:rsidR="00384619">
        <w:rPr>
          <w:rFonts w:ascii="Arial" w:hAnsi="Arial" w:cs="Arial"/>
        </w:rPr>
        <w:t xml:space="preserve"> - </w:t>
      </w:r>
      <w:r w:rsidR="00384619" w:rsidRPr="004C5381">
        <w:rPr>
          <w:rFonts w:ascii="Arial" w:hAnsi="Arial" w:cs="Arial"/>
          <w:color w:val="000000"/>
          <w:szCs w:val="24"/>
        </w:rPr>
        <w:t>Analyse the linkages between ITG and MSGS to the implementation of a cyber policy</w:t>
      </w:r>
    </w:p>
    <w:p w14:paraId="23720758" w14:textId="4235EA13" w:rsidR="007E0F66" w:rsidRPr="00312389" w:rsidRDefault="007E0F66" w:rsidP="006B79BB">
      <w:pPr>
        <w:spacing w:line="480" w:lineRule="auto"/>
        <w:ind w:firstLine="720"/>
        <w:jc w:val="both"/>
        <w:rPr>
          <w:rFonts w:ascii="Arial" w:hAnsi="Arial" w:cs="Arial"/>
          <w:bCs/>
          <w:szCs w:val="24"/>
        </w:rPr>
      </w:pPr>
      <w:r w:rsidRPr="00312389">
        <w:rPr>
          <w:rFonts w:ascii="Arial" w:hAnsi="Arial" w:cs="Arial"/>
          <w:bCs/>
          <w:szCs w:val="24"/>
        </w:rPr>
        <w:t xml:space="preserve">The literature identified the main reasons why the implementable cyber policy is an essential linkage between ITG and MSGS. Mainly, external governance strategy from government to safeguard national critical security infrastructure; identification and control which includes vital risks to meet overall business targets; demonstration of legislative and regulatory compliance; enhancement of ITG structure; achievement of a full business/IT alignment maturity; use limited resources discreetly via ITG convergence; adoption of LI as a scaling technique  to conceptualising ITG framework; and the overall effect of cost-implication of cyberattack on SMEs. One can conclude that implementable cyber policy is at the heart of integration between ITG and MSGS. </w:t>
      </w:r>
    </w:p>
    <w:p w14:paraId="239397E1" w14:textId="598CAE34" w:rsidR="006D7FC6" w:rsidRPr="00312389" w:rsidRDefault="006D7FC6" w:rsidP="00D40EBB">
      <w:pPr>
        <w:pStyle w:val="Heading3"/>
        <w:spacing w:line="480" w:lineRule="auto"/>
        <w:rPr>
          <w:rFonts w:ascii="Arial" w:hAnsi="Arial" w:cs="Arial"/>
        </w:rPr>
      </w:pPr>
      <w:r w:rsidRPr="00312389">
        <w:rPr>
          <w:rFonts w:ascii="Arial" w:hAnsi="Arial" w:cs="Arial"/>
        </w:rPr>
        <w:t>Objective 2</w:t>
      </w:r>
      <w:r w:rsidR="00384619">
        <w:rPr>
          <w:rFonts w:ascii="Arial" w:hAnsi="Arial" w:cs="Arial"/>
        </w:rPr>
        <w:t xml:space="preserve"> - </w:t>
      </w:r>
      <w:r w:rsidR="00384619" w:rsidRPr="004C5381">
        <w:rPr>
          <w:rFonts w:ascii="Arial" w:hAnsi="Arial" w:cs="Arial"/>
          <w:color w:val="000000"/>
          <w:szCs w:val="24"/>
        </w:rPr>
        <w:t>Explore scaling and scalability mechanisms related to decision making strategy tools</w:t>
      </w:r>
    </w:p>
    <w:p w14:paraId="68908B37" w14:textId="2A85C24E" w:rsidR="007E0F66" w:rsidRPr="00312389" w:rsidRDefault="007E0F66" w:rsidP="00683C1E">
      <w:pPr>
        <w:spacing w:line="480" w:lineRule="auto"/>
        <w:ind w:firstLine="720"/>
        <w:jc w:val="both"/>
        <w:rPr>
          <w:rFonts w:ascii="Arial" w:hAnsi="Arial" w:cs="Arial"/>
          <w:szCs w:val="24"/>
        </w:rPr>
      </w:pPr>
      <w:r w:rsidRPr="00312389">
        <w:rPr>
          <w:rFonts w:ascii="Arial" w:hAnsi="Arial" w:cs="Arial"/>
          <w:szCs w:val="24"/>
        </w:rPr>
        <w:t xml:space="preserve">The literature suggested the essential reasons why a culture of security is a crucial element of scaling and scalability. Mostly, to adopt scaling in appropriation to organisational cybersecurity policy needs; use of security policies guidelines as templates for the scalability; the use of MSGS to provide a right balance of profiling, assuring and delivering cybersecurity; external pressure from government strategies of the use of the multi-stakeholder model for policy development; and the impact of a continuous digital skills gap in cybersecurity. Yet, in practice, the picture seems unclear as there are limited practical approaches for the agile </w:t>
      </w:r>
      <w:r w:rsidRPr="00312389">
        <w:rPr>
          <w:rFonts w:ascii="Arial" w:hAnsi="Arial" w:cs="Arial"/>
          <w:szCs w:val="24"/>
        </w:rPr>
        <w:lastRenderedPageBreak/>
        <w:t>implementation of scalability either by scaling up or scaling out automation security architecture in SMEs.</w:t>
      </w:r>
    </w:p>
    <w:p w14:paraId="0F652DF6" w14:textId="526B01C3" w:rsidR="00965D02" w:rsidRPr="00965D02" w:rsidRDefault="006D7FC6" w:rsidP="00965D02">
      <w:pPr>
        <w:pStyle w:val="Heading3"/>
        <w:spacing w:line="480" w:lineRule="auto"/>
        <w:rPr>
          <w:rFonts w:ascii="Arial" w:hAnsi="Arial" w:cs="Arial"/>
        </w:rPr>
      </w:pPr>
      <w:r w:rsidRPr="00312389">
        <w:rPr>
          <w:rFonts w:ascii="Arial" w:hAnsi="Arial" w:cs="Arial"/>
        </w:rPr>
        <w:t>Objective 3</w:t>
      </w:r>
      <w:r w:rsidR="00C754F0">
        <w:rPr>
          <w:rFonts w:ascii="Arial" w:hAnsi="Arial" w:cs="Arial"/>
        </w:rPr>
        <w:t xml:space="preserve"> </w:t>
      </w:r>
      <w:r w:rsidR="00965D02">
        <w:rPr>
          <w:rFonts w:ascii="Arial" w:hAnsi="Arial" w:cs="Arial"/>
        </w:rPr>
        <w:t xml:space="preserve">- </w:t>
      </w:r>
      <w:r w:rsidR="00965D02" w:rsidRPr="00965D02">
        <w:rPr>
          <w:rFonts w:ascii="Arial" w:hAnsi="Arial" w:cs="Arial"/>
          <w:color w:val="000000"/>
          <w:szCs w:val="24"/>
        </w:rPr>
        <w:t>Investigate how the vulnerability of ITG models and MSGS correlate to supporting decision-makers</w:t>
      </w:r>
    </w:p>
    <w:p w14:paraId="0C39AB6E" w14:textId="7427CD08" w:rsidR="007E0F66" w:rsidRPr="00312389" w:rsidRDefault="007E0F66" w:rsidP="00683C1E">
      <w:pPr>
        <w:spacing w:line="480" w:lineRule="auto"/>
        <w:ind w:right="-9" w:firstLine="720"/>
        <w:jc w:val="both"/>
        <w:rPr>
          <w:rFonts w:ascii="Arial" w:hAnsi="Arial" w:cs="Arial"/>
          <w:szCs w:val="24"/>
        </w:rPr>
      </w:pPr>
      <w:r w:rsidRPr="00312389">
        <w:rPr>
          <w:rFonts w:ascii="Arial" w:hAnsi="Arial" w:cs="Arial"/>
          <w:szCs w:val="24"/>
        </w:rPr>
        <w:t>The secondary data research identified the main reasons how the identifiable relationships that exist between ITG and MSGS could be helpful to decision-makers. Due to the frequency of cyberattacks on the UK’s SME Aviation and the remediation regulation of GDPR, there are multiple organisational challenges. The impact of globalisation and technology are apparent stakes to the global outlook of the industry. The availability of diverse practitioners-oriented risk management methods and several academic security modelling frameworks poses a significant challenge to making the right choice of ITG security tools and implementable cyber policy. The vulnerabilities of ITG framework and the need for agreement and integration suffices in fixing the vulnerabilities dynamically.</w:t>
      </w:r>
    </w:p>
    <w:p w14:paraId="154A6C77" w14:textId="793535E5" w:rsidR="007631EA" w:rsidRPr="007631EA" w:rsidRDefault="006D7FC6" w:rsidP="007631EA">
      <w:pPr>
        <w:pStyle w:val="Heading3"/>
        <w:spacing w:line="480" w:lineRule="auto"/>
        <w:rPr>
          <w:rFonts w:ascii="Arial" w:hAnsi="Arial" w:cs="Arial"/>
        </w:rPr>
      </w:pPr>
      <w:r w:rsidRPr="00312389">
        <w:rPr>
          <w:rFonts w:ascii="Arial" w:hAnsi="Arial" w:cs="Arial"/>
        </w:rPr>
        <w:t>Objective 4</w:t>
      </w:r>
      <w:r w:rsidR="00965D02">
        <w:rPr>
          <w:rFonts w:ascii="Arial" w:hAnsi="Arial" w:cs="Arial"/>
        </w:rPr>
        <w:t xml:space="preserve"> - </w:t>
      </w:r>
      <w:r w:rsidR="007631EA" w:rsidRPr="007631EA">
        <w:rPr>
          <w:rFonts w:ascii="Arial" w:hAnsi="Arial" w:cs="Arial"/>
          <w:color w:val="000000"/>
          <w:szCs w:val="24"/>
        </w:rPr>
        <w:t>Theorise scaling as a security strategy in coping with ITG implementation.</w:t>
      </w:r>
    </w:p>
    <w:p w14:paraId="1B724466" w14:textId="231F0988" w:rsidR="007E0F66" w:rsidRPr="00312389" w:rsidRDefault="007E0F66" w:rsidP="00683C1E">
      <w:pPr>
        <w:spacing w:line="480" w:lineRule="auto"/>
        <w:ind w:firstLine="720"/>
        <w:jc w:val="both"/>
        <w:rPr>
          <w:rFonts w:ascii="Arial" w:hAnsi="Arial" w:cs="Arial"/>
          <w:szCs w:val="24"/>
        </w:rPr>
      </w:pPr>
      <w:r w:rsidRPr="00312389">
        <w:rPr>
          <w:rFonts w:ascii="Arial" w:hAnsi="Arial" w:cs="Arial"/>
          <w:szCs w:val="24"/>
        </w:rPr>
        <w:t xml:space="preserve">The literature identified why scaling technique in cyber policymaking should help to bridge the digital skill gap that exists in the practical implementation of the available models tailored to specific industrial sectors. These are the emergent theories of corporate strategies that are devoid of security strategies. The lack of theoretical frameworks to correlate industrial policy and security for comparative advantages. The non-engagement of middle managers to facilitate the associated IT management processes and related internal IT controls. The continuous evolution of ITG framework for business re-alignment. The use of standardised and specialised ITG framework to maintain information security. Yet, in practice, there </w:t>
      </w:r>
      <w:r w:rsidRPr="00312389">
        <w:rPr>
          <w:rFonts w:ascii="Arial" w:hAnsi="Arial" w:cs="Arial"/>
          <w:szCs w:val="24"/>
        </w:rPr>
        <w:lastRenderedPageBreak/>
        <w:t>is little on the actual processes involved with ITG. Decision-makers should consider scaling technique as a process inclusion with ITG.</w:t>
      </w:r>
    </w:p>
    <w:p w14:paraId="4B3B5C62" w14:textId="2CA7D8B9" w:rsidR="007631EA" w:rsidRPr="007631EA" w:rsidRDefault="006D7FC6" w:rsidP="007631EA">
      <w:pPr>
        <w:pStyle w:val="Heading3"/>
        <w:spacing w:line="480" w:lineRule="auto"/>
        <w:rPr>
          <w:rFonts w:ascii="Arial" w:hAnsi="Arial" w:cs="Arial"/>
        </w:rPr>
      </w:pPr>
      <w:r w:rsidRPr="00312389">
        <w:rPr>
          <w:rFonts w:ascii="Arial" w:hAnsi="Arial" w:cs="Arial"/>
        </w:rPr>
        <w:t>Objective 5</w:t>
      </w:r>
      <w:r w:rsidR="007702CE">
        <w:rPr>
          <w:rFonts w:ascii="Arial" w:hAnsi="Arial" w:cs="Arial"/>
        </w:rPr>
        <w:t xml:space="preserve"> - </w:t>
      </w:r>
      <w:r w:rsidR="007631EA" w:rsidRPr="007631EA">
        <w:rPr>
          <w:rFonts w:ascii="Arial" w:hAnsi="Arial" w:cs="Arial"/>
          <w:color w:val="000000"/>
          <w:szCs w:val="24"/>
        </w:rPr>
        <w:t>Discuss the decision-making scalability mechanism to the successful implementation of ITG within SME Aviation.</w:t>
      </w:r>
    </w:p>
    <w:p w14:paraId="09B6C1B1" w14:textId="01E00B6A" w:rsidR="007E0F66" w:rsidRPr="00312389" w:rsidRDefault="007E0F66" w:rsidP="00402AC1">
      <w:pPr>
        <w:spacing w:line="480" w:lineRule="auto"/>
        <w:ind w:firstLine="576"/>
        <w:jc w:val="both"/>
        <w:rPr>
          <w:rFonts w:ascii="Arial" w:hAnsi="Arial" w:cs="Arial"/>
          <w:szCs w:val="24"/>
        </w:rPr>
      </w:pPr>
      <w:r w:rsidRPr="00312389">
        <w:rPr>
          <w:rFonts w:ascii="Arial" w:hAnsi="Arial" w:cs="Arial"/>
          <w:szCs w:val="24"/>
        </w:rPr>
        <w:t xml:space="preserve">Substantially to section 5.1.3, the exploratory secondary research further discussed how efficient scaling and scalability technique could help decision-makers in cyber policymaking. Decision-makers must comply with legally binding commitments, laws, and directions in the UK and elsewhere. There are extra security measures to underline innovation related to standardised services; thus, security strategists need to measure the relative significance of security risks. The critical asset for an organisation is the Intellectual Property and securing it calls for governance benchmarking. Decision-makers should consider the trend of cyberattacks and endeavour to minimise the risk and avoid associated severity and consequences. </w:t>
      </w:r>
    </w:p>
    <w:p w14:paraId="458B1B41" w14:textId="0506F4AB" w:rsidR="006D7FC6" w:rsidRPr="00312389" w:rsidRDefault="006D7FC6" w:rsidP="00D40EBB">
      <w:pPr>
        <w:pStyle w:val="Heading2"/>
        <w:spacing w:line="480" w:lineRule="auto"/>
        <w:rPr>
          <w:rFonts w:ascii="Arial" w:hAnsi="Arial" w:cs="Arial"/>
        </w:rPr>
      </w:pPr>
      <w:bookmarkStart w:id="46" w:name="_Toc72189396"/>
      <w:r w:rsidRPr="00312389">
        <w:rPr>
          <w:rFonts w:ascii="Arial" w:hAnsi="Arial" w:cs="Arial"/>
        </w:rPr>
        <w:t>Recommendations</w:t>
      </w:r>
      <w:bookmarkEnd w:id="46"/>
      <w:r w:rsidRPr="00312389">
        <w:rPr>
          <w:rFonts w:ascii="Arial" w:hAnsi="Arial" w:cs="Arial"/>
        </w:rPr>
        <w:t xml:space="preserve"> </w:t>
      </w:r>
    </w:p>
    <w:p w14:paraId="11A564F8" w14:textId="77777777" w:rsidR="004E7834" w:rsidRDefault="007E0F66" w:rsidP="004E7834">
      <w:pPr>
        <w:spacing w:line="480" w:lineRule="auto"/>
        <w:ind w:firstLine="576"/>
        <w:jc w:val="both"/>
        <w:rPr>
          <w:rFonts w:ascii="Arial" w:hAnsi="Arial" w:cs="Arial"/>
          <w:szCs w:val="24"/>
        </w:rPr>
      </w:pPr>
      <w:r w:rsidRPr="00312389">
        <w:rPr>
          <w:rFonts w:ascii="Arial" w:hAnsi="Arial" w:cs="Arial"/>
          <w:szCs w:val="24"/>
        </w:rPr>
        <w:t>From Conclusion 1, the first recommendation to be made is that decision-makers should consider an agile approach in the determination of an appropriate scaling technique to ITG implementation as cyber insurance becomes a viable option. They should effectively communicate the need for a cyber policy to the staff of the organisation and align the implementation of such a security policy with the overall business objectives.</w:t>
      </w:r>
      <w:r w:rsidR="004E7834">
        <w:rPr>
          <w:rFonts w:ascii="Arial" w:hAnsi="Arial" w:cs="Arial"/>
          <w:szCs w:val="24"/>
        </w:rPr>
        <w:t xml:space="preserve"> </w:t>
      </w:r>
    </w:p>
    <w:p w14:paraId="6F1878AC" w14:textId="77777777" w:rsidR="004E7834" w:rsidRDefault="007E0F66" w:rsidP="004E7834">
      <w:pPr>
        <w:spacing w:line="480" w:lineRule="auto"/>
        <w:ind w:firstLine="576"/>
        <w:jc w:val="both"/>
        <w:rPr>
          <w:rFonts w:ascii="Arial" w:hAnsi="Arial" w:cs="Arial"/>
          <w:szCs w:val="24"/>
        </w:rPr>
      </w:pPr>
      <w:r w:rsidRPr="00312389">
        <w:rPr>
          <w:rFonts w:ascii="Arial" w:hAnsi="Arial" w:cs="Arial"/>
          <w:szCs w:val="24"/>
        </w:rPr>
        <w:t xml:space="preserve">With conclusion 2, the lack of clarity about the practical approach to scalability is an issue to decision making security strategy tool. Primarily, by design, a scaling plan must be effectively communicated and mutually beneficial to payers of security </w:t>
      </w:r>
      <w:r w:rsidRPr="00312389">
        <w:rPr>
          <w:rFonts w:ascii="Arial" w:hAnsi="Arial" w:cs="Arial"/>
          <w:szCs w:val="24"/>
        </w:rPr>
        <w:lastRenderedPageBreak/>
        <w:t>and organisations’ chiefs. As the cost of cyberattacks remains on the increase, decision-makers should consider a dynamic approach to scaling and scalability technique for security design as well as effectively communicate the need for such tool to achieve evidence-based cyber policymaking.</w:t>
      </w:r>
      <w:r w:rsidR="004E7834">
        <w:rPr>
          <w:rFonts w:ascii="Arial" w:hAnsi="Arial" w:cs="Arial"/>
          <w:szCs w:val="24"/>
        </w:rPr>
        <w:t xml:space="preserve"> </w:t>
      </w:r>
    </w:p>
    <w:p w14:paraId="141AD638" w14:textId="77777777" w:rsidR="004E7834" w:rsidRDefault="007E0F66" w:rsidP="004E7834">
      <w:pPr>
        <w:spacing w:line="480" w:lineRule="auto"/>
        <w:ind w:firstLine="576"/>
        <w:jc w:val="both"/>
        <w:rPr>
          <w:rFonts w:ascii="Arial" w:hAnsi="Arial" w:cs="Arial"/>
          <w:szCs w:val="24"/>
        </w:rPr>
      </w:pPr>
      <w:r w:rsidRPr="00312389">
        <w:rPr>
          <w:rFonts w:ascii="Arial" w:hAnsi="Arial" w:cs="Arial"/>
          <w:szCs w:val="24"/>
        </w:rPr>
        <w:t>From conclusion 3, integration of frameworks in fixing vulnerabilities should form an element of the agile approach to ITG implementation. Decision-makers should consider the need for displaying dialects and techniques with security-arrangement, as such requirements will fathom a synergy for contextual considerations in the security design and development lifecycle.</w:t>
      </w:r>
      <w:r w:rsidR="004E7834">
        <w:rPr>
          <w:rFonts w:ascii="Arial" w:hAnsi="Arial" w:cs="Arial"/>
          <w:szCs w:val="24"/>
        </w:rPr>
        <w:t xml:space="preserve"> </w:t>
      </w:r>
    </w:p>
    <w:p w14:paraId="7893DAF8" w14:textId="77777777" w:rsidR="004E7834" w:rsidRDefault="007E0F66" w:rsidP="004E7834">
      <w:pPr>
        <w:spacing w:line="480" w:lineRule="auto"/>
        <w:ind w:firstLine="576"/>
        <w:jc w:val="both"/>
        <w:rPr>
          <w:rFonts w:ascii="Arial" w:hAnsi="Arial" w:cs="Arial"/>
          <w:szCs w:val="24"/>
        </w:rPr>
      </w:pPr>
      <w:r w:rsidRPr="00312389">
        <w:rPr>
          <w:rFonts w:ascii="Arial" w:hAnsi="Arial" w:cs="Arial"/>
          <w:szCs w:val="24"/>
        </w:rPr>
        <w:t>Following the conclusion to objective 4, practitioners should consider exploring the use of scaling approaches for ITG strategic security deployment. Decision-makers should consider the idea that the ITG model should focus on the continuous compliance in the coded enterprise, management and delivery of IT services to safeguard the business-critical assets.</w:t>
      </w:r>
      <w:r w:rsidR="004E7834">
        <w:rPr>
          <w:rFonts w:ascii="Arial" w:hAnsi="Arial" w:cs="Arial"/>
          <w:szCs w:val="24"/>
        </w:rPr>
        <w:t xml:space="preserve"> </w:t>
      </w:r>
    </w:p>
    <w:p w14:paraId="388F75E7" w14:textId="77777777" w:rsidR="004E7834" w:rsidRDefault="007E0F66" w:rsidP="004E7834">
      <w:pPr>
        <w:spacing w:line="480" w:lineRule="auto"/>
        <w:ind w:firstLine="576"/>
        <w:jc w:val="both"/>
        <w:rPr>
          <w:rFonts w:ascii="Arial" w:hAnsi="Arial" w:cs="Arial"/>
          <w:szCs w:val="24"/>
        </w:rPr>
      </w:pPr>
      <w:r w:rsidRPr="00312389">
        <w:rPr>
          <w:rFonts w:ascii="Arial" w:hAnsi="Arial" w:cs="Arial"/>
          <w:szCs w:val="24"/>
        </w:rPr>
        <w:t>From conclusion 5, decision-makers should consider to averse or at the least minimise the risk of cyberattacks; as well as fulfilling clients’ prerequisites with great prudence to avoid the grave implication of noncompliance to the legislature and achieve customer satisfaction. Therefore, they should consider a less expensive and most efficient means for implementing IA&amp;RM to achieve a quadrant outcome of fulfilling interactively: customer confidence, internal effectiveness, compliance and regulation, and external security risks.</w:t>
      </w:r>
    </w:p>
    <w:p w14:paraId="054F55E2" w14:textId="77777777" w:rsidR="004E7834" w:rsidRDefault="00AB3C4B" w:rsidP="004E7834">
      <w:pPr>
        <w:spacing w:line="480" w:lineRule="auto"/>
        <w:ind w:firstLine="576"/>
        <w:jc w:val="both"/>
        <w:rPr>
          <w:rFonts w:ascii="Arial" w:hAnsi="Arial" w:cs="Arial"/>
          <w:szCs w:val="24"/>
        </w:rPr>
      </w:pPr>
      <w:r w:rsidRPr="00F21E40">
        <w:rPr>
          <w:rFonts w:ascii="Arial" w:hAnsi="Arial" w:cs="Arial"/>
          <w:color w:val="000000"/>
          <w:szCs w:val="24"/>
        </w:rPr>
        <w:t xml:space="preserve">In addition to the findings and conclusions to objectives 1, 2, 3, 4 and 5, UK’s SME Aviation decision-makers should consider decision making and framework impediments to implementing cyber policy when ITG and business policy aligned to </w:t>
      </w:r>
      <w:r w:rsidRPr="00F21E40">
        <w:rPr>
          <w:rFonts w:ascii="Arial" w:hAnsi="Arial" w:cs="Arial"/>
          <w:color w:val="000000"/>
          <w:szCs w:val="24"/>
        </w:rPr>
        <w:lastRenderedPageBreak/>
        <w:t>entail lack of awareness of global and local threats to cybersecurity. Decision-makers should frequently engage with staff training on fixing ITG vulnerabilities and minimising the risk of cyberattacks.</w:t>
      </w:r>
    </w:p>
    <w:p w14:paraId="3CE2D277" w14:textId="77777777" w:rsidR="004E7834" w:rsidRDefault="00AB3C4B" w:rsidP="004E7834">
      <w:pPr>
        <w:spacing w:line="480" w:lineRule="auto"/>
        <w:ind w:firstLine="576"/>
        <w:jc w:val="both"/>
        <w:rPr>
          <w:rFonts w:ascii="Arial" w:hAnsi="Arial" w:cs="Arial"/>
          <w:szCs w:val="24"/>
        </w:rPr>
      </w:pPr>
      <w:r w:rsidRPr="00F21E40">
        <w:rPr>
          <w:rFonts w:ascii="Arial" w:hAnsi="Arial" w:cs="Arial"/>
          <w:color w:val="000000"/>
          <w:szCs w:val="24"/>
        </w:rPr>
        <w:t>Similarly, training and specific security awareness could help practitioners to gain a better understanding of the implication of poor scaling technique. Decision-makers should consider the cost implications of the current scaling techniques to inadequate security infrastructures and explore why other SMEs are not adopting scaling method to implementation of ITG.</w:t>
      </w:r>
    </w:p>
    <w:p w14:paraId="514419A8" w14:textId="00BF1059" w:rsidR="007E0F66" w:rsidRPr="00312389" w:rsidRDefault="007E0F66" w:rsidP="004E7834">
      <w:pPr>
        <w:spacing w:line="480" w:lineRule="auto"/>
        <w:ind w:firstLine="576"/>
        <w:jc w:val="both"/>
        <w:rPr>
          <w:rFonts w:ascii="Arial" w:hAnsi="Arial" w:cs="Arial"/>
          <w:szCs w:val="24"/>
        </w:rPr>
      </w:pPr>
      <w:r w:rsidRPr="00312389">
        <w:rPr>
          <w:rFonts w:ascii="Arial" w:hAnsi="Arial" w:cs="Arial"/>
          <w:szCs w:val="24"/>
        </w:rPr>
        <w:t>Decision-makers should engage with the organisation executives to promote the need for more experts to be involved in decision making processes. All the UK’s SME Aviation employees should be crucial members of the security awareness team of the industry. To implement these recommendations, figure 5.1 shows there should be a strategy of inclusion, training and communication strategy, and the need for a new approach to cyber policy implementation for robust competitiveness. Further research is essential to determine measurable scaling techniques due to the relationship that exist between ITG and MSGS.</w:t>
      </w:r>
    </w:p>
    <w:p w14:paraId="3C992FF4" w14:textId="7ED65905" w:rsidR="007E0F66" w:rsidRPr="00312389" w:rsidRDefault="007E0F66" w:rsidP="00D40EBB">
      <w:pPr>
        <w:spacing w:line="480" w:lineRule="auto"/>
        <w:jc w:val="both"/>
        <w:rPr>
          <w:rFonts w:ascii="Arial" w:hAnsi="Arial" w:cs="Arial"/>
          <w:szCs w:val="24"/>
        </w:rPr>
      </w:pPr>
      <w:r w:rsidRPr="00312389">
        <w:rPr>
          <w:rFonts w:ascii="Arial" w:hAnsi="Arial" w:cs="Arial"/>
          <w:noProof/>
          <w:szCs w:val="24"/>
        </w:rPr>
        <w:lastRenderedPageBreak/>
        <w:drawing>
          <wp:inline distT="0" distB="0" distL="0" distR="0" wp14:anchorId="3BE7232D" wp14:editId="70DF0FF9">
            <wp:extent cx="5943600" cy="4890977"/>
            <wp:effectExtent l="0" t="0" r="0" b="5080"/>
            <wp:docPr id="30" name="Picture 3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plementable Cyber Policy Diagram.png"/>
                    <pic:cNvPicPr/>
                  </pic:nvPicPr>
                  <pic:blipFill>
                    <a:blip r:embed="rId16">
                      <a:extLst>
                        <a:ext uri="{28A0092B-C50C-407E-A947-70E740481C1C}">
                          <a14:useLocalDpi xmlns:a14="http://schemas.microsoft.com/office/drawing/2010/main" val="0"/>
                        </a:ext>
                      </a:extLst>
                    </a:blip>
                    <a:stretch>
                      <a:fillRect/>
                    </a:stretch>
                  </pic:blipFill>
                  <pic:spPr>
                    <a:xfrm>
                      <a:off x="0" y="0"/>
                      <a:ext cx="5945475" cy="4892520"/>
                    </a:xfrm>
                    <a:prstGeom prst="rect">
                      <a:avLst/>
                    </a:prstGeom>
                  </pic:spPr>
                </pic:pic>
              </a:graphicData>
            </a:graphic>
          </wp:inline>
        </w:drawing>
      </w:r>
    </w:p>
    <w:p w14:paraId="31471871" w14:textId="70FDB90C" w:rsidR="006D7FC6" w:rsidRPr="00312389" w:rsidRDefault="006D7FC6" w:rsidP="00D40EBB">
      <w:pPr>
        <w:pStyle w:val="Heading2"/>
        <w:spacing w:line="480" w:lineRule="auto"/>
        <w:rPr>
          <w:rFonts w:ascii="Arial" w:hAnsi="Arial" w:cs="Arial"/>
        </w:rPr>
      </w:pPr>
      <w:bookmarkStart w:id="47" w:name="_Toc72189397"/>
      <w:r w:rsidRPr="00312389">
        <w:rPr>
          <w:rFonts w:ascii="Arial" w:hAnsi="Arial" w:cs="Arial"/>
        </w:rPr>
        <w:t>Self-Reflection</w:t>
      </w:r>
      <w:bookmarkEnd w:id="47"/>
      <w:r w:rsidRPr="00312389">
        <w:rPr>
          <w:rFonts w:ascii="Arial" w:hAnsi="Arial" w:cs="Arial"/>
        </w:rPr>
        <w:t xml:space="preserve"> </w:t>
      </w:r>
    </w:p>
    <w:p w14:paraId="21575FDB" w14:textId="77777777" w:rsidR="00B92B44" w:rsidRDefault="00964DE9" w:rsidP="007B6BA9">
      <w:pPr>
        <w:spacing w:line="480" w:lineRule="auto"/>
        <w:ind w:firstLine="576"/>
        <w:jc w:val="both"/>
        <w:rPr>
          <w:rFonts w:ascii="Arial" w:hAnsi="Arial" w:cs="Arial"/>
          <w:szCs w:val="24"/>
        </w:rPr>
      </w:pPr>
      <w:r w:rsidRPr="00964DE9">
        <w:rPr>
          <w:rFonts w:ascii="Arial" w:hAnsi="Arial" w:cs="Arial"/>
          <w:szCs w:val="24"/>
        </w:rPr>
        <w:t xml:space="preserve">The researcher considers the working of this thesis as necessarily an academic requirement to fulfil the award of PhD in Cyber Security. The life cycle of this study was also a learning process for the researcher. From the diary of events kept by the researcher, there are various lessons learned ranged from putting the proposal together, regular search into academic databases of direct relevance to the subject matter, the decision on research methods, understanding and seeking of ethical approval, declaration of no conflict, and the starting of the study to completion. </w:t>
      </w:r>
    </w:p>
    <w:p w14:paraId="4E605C8B" w14:textId="77777777" w:rsidR="00CD53D0" w:rsidRDefault="00CD53D0" w:rsidP="007B6BA9">
      <w:pPr>
        <w:spacing w:line="480" w:lineRule="auto"/>
        <w:ind w:firstLine="576"/>
        <w:jc w:val="both"/>
        <w:rPr>
          <w:rFonts w:ascii="Arial" w:hAnsi="Arial" w:cs="Arial"/>
          <w:szCs w:val="24"/>
        </w:rPr>
      </w:pPr>
      <w:r w:rsidRPr="00CD53D0">
        <w:rPr>
          <w:rFonts w:ascii="Arial" w:hAnsi="Arial" w:cs="Arial"/>
          <w:szCs w:val="24"/>
        </w:rPr>
        <w:lastRenderedPageBreak/>
        <w:t xml:space="preserve">The research started slowly as the researcher exhibited a lack of appropriate confidence level at the beginning. Firstly, the idea for the first topic was to investigate the scaling technique for cybersecurity </w:t>
      </w:r>
      <w:proofErr w:type="spellStart"/>
      <w:r w:rsidRPr="00CD53D0">
        <w:rPr>
          <w:rFonts w:ascii="Arial" w:hAnsi="Arial" w:cs="Arial"/>
          <w:szCs w:val="24"/>
        </w:rPr>
        <w:t>BoK</w:t>
      </w:r>
      <w:proofErr w:type="spellEnd"/>
      <w:r w:rsidRPr="00CD53D0">
        <w:rPr>
          <w:rFonts w:ascii="Arial" w:hAnsi="Arial" w:cs="Arial"/>
          <w:szCs w:val="24"/>
        </w:rPr>
        <w:t xml:space="preserve">. A vague viewpoint to develop an algorithm was problematic. Also, an ill-defined concept that practitioners’ techniques for managing knowledge in SMEs’ Aviation were challenging. The research objectives, then written and severally reworked to meet the goals. The researcher at that stage abandoned the first topic for lack of adequate focus and developed the new research topic started from scratch. </w:t>
      </w:r>
    </w:p>
    <w:p w14:paraId="02463B29" w14:textId="61D64E2A" w:rsidR="00AA17F9" w:rsidRDefault="007D6E0D" w:rsidP="007B6BA9">
      <w:pPr>
        <w:spacing w:line="480" w:lineRule="auto"/>
        <w:ind w:firstLine="576"/>
        <w:jc w:val="both"/>
        <w:rPr>
          <w:rFonts w:ascii="Arial" w:hAnsi="Arial" w:cs="Arial"/>
          <w:szCs w:val="24"/>
        </w:rPr>
      </w:pPr>
      <w:r>
        <w:rPr>
          <w:rFonts w:ascii="Arial" w:hAnsi="Arial" w:cs="Arial"/>
          <w:szCs w:val="24"/>
        </w:rPr>
        <w:t xml:space="preserve">The results of this research agreed with the findings of </w:t>
      </w:r>
      <w:r w:rsidR="003A435A">
        <w:rPr>
          <w:rFonts w:ascii="Arial" w:hAnsi="Arial" w:cs="Arial"/>
          <w:szCs w:val="24"/>
        </w:rPr>
        <w:t xml:space="preserve">Aggarwal and </w:t>
      </w:r>
      <w:proofErr w:type="spellStart"/>
      <w:r w:rsidR="003A435A">
        <w:rPr>
          <w:rFonts w:ascii="Arial" w:hAnsi="Arial" w:cs="Arial"/>
          <w:szCs w:val="24"/>
        </w:rPr>
        <w:t>Reddie</w:t>
      </w:r>
      <w:proofErr w:type="spellEnd"/>
      <w:r w:rsidR="003A435A">
        <w:rPr>
          <w:rFonts w:ascii="Arial" w:hAnsi="Arial" w:cs="Arial"/>
          <w:szCs w:val="24"/>
        </w:rPr>
        <w:t xml:space="preserve"> (2018), </w:t>
      </w:r>
      <w:proofErr w:type="spellStart"/>
      <w:r w:rsidR="003A435A">
        <w:rPr>
          <w:rFonts w:ascii="Arial" w:hAnsi="Arial" w:cs="Arial"/>
          <w:szCs w:val="24"/>
        </w:rPr>
        <w:t>Carr</w:t>
      </w:r>
      <w:proofErr w:type="spellEnd"/>
      <w:r w:rsidR="003A435A">
        <w:rPr>
          <w:rFonts w:ascii="Arial" w:hAnsi="Arial" w:cs="Arial"/>
          <w:szCs w:val="24"/>
        </w:rPr>
        <w:t xml:space="preserve"> and </w:t>
      </w:r>
      <w:proofErr w:type="spellStart"/>
      <w:r w:rsidR="003A435A">
        <w:rPr>
          <w:rFonts w:ascii="Arial" w:hAnsi="Arial" w:cs="Arial"/>
          <w:szCs w:val="24"/>
        </w:rPr>
        <w:t>Tan</w:t>
      </w:r>
      <w:r w:rsidR="006D7AA2">
        <w:rPr>
          <w:rFonts w:ascii="Arial" w:hAnsi="Arial" w:cs="Arial"/>
          <w:szCs w:val="24"/>
        </w:rPr>
        <w:t>czer</w:t>
      </w:r>
      <w:proofErr w:type="spellEnd"/>
      <w:r w:rsidR="006D7AA2">
        <w:rPr>
          <w:rFonts w:ascii="Arial" w:hAnsi="Arial" w:cs="Arial"/>
          <w:szCs w:val="24"/>
        </w:rPr>
        <w:t xml:space="preserve"> (2018), </w:t>
      </w:r>
      <w:proofErr w:type="spellStart"/>
      <w:r w:rsidR="006D7AA2">
        <w:rPr>
          <w:rFonts w:ascii="Arial" w:hAnsi="Arial" w:cs="Arial"/>
          <w:szCs w:val="24"/>
        </w:rPr>
        <w:t>GreenPope</w:t>
      </w:r>
      <w:proofErr w:type="spellEnd"/>
      <w:r w:rsidR="006D7AA2">
        <w:rPr>
          <w:rFonts w:ascii="Arial" w:hAnsi="Arial" w:cs="Arial"/>
          <w:szCs w:val="24"/>
        </w:rPr>
        <w:t xml:space="preserve"> </w:t>
      </w:r>
      <w:r w:rsidR="00B50415" w:rsidRPr="00B50415">
        <w:rPr>
          <w:rFonts w:ascii="Arial" w:hAnsi="Arial" w:cs="Arial"/>
          <w:i/>
          <w:iCs/>
          <w:szCs w:val="24"/>
        </w:rPr>
        <w:t>et al</w:t>
      </w:r>
      <w:r w:rsidR="009276D1">
        <w:rPr>
          <w:rFonts w:ascii="Arial" w:hAnsi="Arial" w:cs="Arial"/>
          <w:i/>
          <w:iCs/>
          <w:szCs w:val="24"/>
        </w:rPr>
        <w:t xml:space="preserve">. </w:t>
      </w:r>
      <w:r w:rsidR="009276D1">
        <w:rPr>
          <w:rFonts w:ascii="Arial" w:hAnsi="Arial" w:cs="Arial"/>
          <w:szCs w:val="24"/>
        </w:rPr>
        <w:t>(2010), OECD (2002, 2012</w:t>
      </w:r>
      <w:r w:rsidR="00F96422">
        <w:rPr>
          <w:rFonts w:ascii="Arial" w:hAnsi="Arial" w:cs="Arial"/>
          <w:szCs w:val="24"/>
        </w:rPr>
        <w:t xml:space="preserve">), and </w:t>
      </w:r>
      <w:proofErr w:type="spellStart"/>
      <w:r w:rsidR="00F96422">
        <w:rPr>
          <w:rFonts w:ascii="Arial" w:hAnsi="Arial" w:cs="Arial"/>
          <w:szCs w:val="24"/>
        </w:rPr>
        <w:t>Timmers</w:t>
      </w:r>
      <w:proofErr w:type="spellEnd"/>
      <w:r w:rsidR="00F96422">
        <w:rPr>
          <w:rFonts w:ascii="Arial" w:hAnsi="Arial" w:cs="Arial"/>
          <w:szCs w:val="24"/>
        </w:rPr>
        <w:t xml:space="preserve"> (2018). More specifically, authors</w:t>
      </w:r>
      <w:r w:rsidR="00201AA1">
        <w:rPr>
          <w:rFonts w:ascii="Arial" w:hAnsi="Arial" w:cs="Arial"/>
          <w:szCs w:val="24"/>
        </w:rPr>
        <w:t xml:space="preserve"> such as Aggarwal and </w:t>
      </w:r>
      <w:proofErr w:type="spellStart"/>
      <w:r w:rsidR="00201AA1">
        <w:rPr>
          <w:rFonts w:ascii="Arial" w:hAnsi="Arial" w:cs="Arial"/>
          <w:szCs w:val="24"/>
        </w:rPr>
        <w:t>Reddie</w:t>
      </w:r>
      <w:proofErr w:type="spellEnd"/>
      <w:r w:rsidR="00201AA1">
        <w:rPr>
          <w:rFonts w:ascii="Arial" w:hAnsi="Arial" w:cs="Arial"/>
          <w:szCs w:val="24"/>
        </w:rPr>
        <w:t xml:space="preserve">, </w:t>
      </w:r>
      <w:proofErr w:type="spellStart"/>
      <w:r w:rsidR="00201AA1">
        <w:rPr>
          <w:rFonts w:ascii="Arial" w:hAnsi="Arial" w:cs="Arial"/>
          <w:szCs w:val="24"/>
        </w:rPr>
        <w:t>Carr</w:t>
      </w:r>
      <w:proofErr w:type="spellEnd"/>
      <w:r w:rsidR="00201AA1">
        <w:rPr>
          <w:rFonts w:ascii="Arial" w:hAnsi="Arial" w:cs="Arial"/>
          <w:szCs w:val="24"/>
        </w:rPr>
        <w:t xml:space="preserve"> and </w:t>
      </w:r>
      <w:proofErr w:type="spellStart"/>
      <w:r w:rsidR="00201AA1">
        <w:rPr>
          <w:rFonts w:ascii="Arial" w:hAnsi="Arial" w:cs="Arial"/>
          <w:szCs w:val="24"/>
        </w:rPr>
        <w:t>Tanczer</w:t>
      </w:r>
      <w:proofErr w:type="spellEnd"/>
      <w:r w:rsidR="00201AA1">
        <w:rPr>
          <w:rFonts w:ascii="Arial" w:hAnsi="Arial" w:cs="Arial"/>
          <w:szCs w:val="24"/>
        </w:rPr>
        <w:t xml:space="preserve">, and </w:t>
      </w:r>
      <w:proofErr w:type="spellStart"/>
      <w:r w:rsidR="00201AA1">
        <w:rPr>
          <w:rFonts w:ascii="Arial" w:hAnsi="Arial" w:cs="Arial"/>
          <w:szCs w:val="24"/>
        </w:rPr>
        <w:t>Timmers</w:t>
      </w:r>
      <w:proofErr w:type="spellEnd"/>
      <w:r w:rsidR="00201AA1">
        <w:rPr>
          <w:rFonts w:ascii="Arial" w:hAnsi="Arial" w:cs="Arial"/>
          <w:szCs w:val="24"/>
        </w:rPr>
        <w:t xml:space="preserve"> also highlighted </w:t>
      </w:r>
      <w:r w:rsidR="00E36FD1">
        <w:rPr>
          <w:rFonts w:ascii="Arial" w:hAnsi="Arial" w:cs="Arial"/>
          <w:szCs w:val="24"/>
        </w:rPr>
        <w:t xml:space="preserve">a comparatives analysis of industrial policy relating to cyber </w:t>
      </w:r>
      <w:r w:rsidR="002D0E2B">
        <w:rPr>
          <w:rFonts w:ascii="Arial" w:hAnsi="Arial" w:cs="Arial"/>
          <w:szCs w:val="24"/>
        </w:rPr>
        <w:t xml:space="preserve">policymaking at safeguarding the security of the digitally </w:t>
      </w:r>
      <w:r w:rsidR="00115837">
        <w:rPr>
          <w:rFonts w:ascii="Arial" w:hAnsi="Arial" w:cs="Arial"/>
          <w:szCs w:val="24"/>
        </w:rPr>
        <w:t xml:space="preserve">connected infrastructure in SMEs (Aggarwal and </w:t>
      </w:r>
      <w:proofErr w:type="spellStart"/>
      <w:r w:rsidR="00115837">
        <w:rPr>
          <w:rFonts w:ascii="Arial" w:hAnsi="Arial" w:cs="Arial"/>
          <w:szCs w:val="24"/>
        </w:rPr>
        <w:t>Reddie</w:t>
      </w:r>
      <w:proofErr w:type="spellEnd"/>
      <w:r w:rsidR="00D41448">
        <w:rPr>
          <w:rFonts w:ascii="Arial" w:hAnsi="Arial" w:cs="Arial"/>
          <w:szCs w:val="24"/>
        </w:rPr>
        <w:t xml:space="preserve">, 2018; </w:t>
      </w:r>
      <w:proofErr w:type="spellStart"/>
      <w:r w:rsidR="00D41448">
        <w:rPr>
          <w:rFonts w:ascii="Arial" w:hAnsi="Arial" w:cs="Arial"/>
          <w:szCs w:val="24"/>
        </w:rPr>
        <w:t>Carr</w:t>
      </w:r>
      <w:proofErr w:type="spellEnd"/>
      <w:r w:rsidR="00D41448">
        <w:rPr>
          <w:rFonts w:ascii="Arial" w:hAnsi="Arial" w:cs="Arial"/>
          <w:szCs w:val="24"/>
        </w:rPr>
        <w:t xml:space="preserve"> and </w:t>
      </w:r>
      <w:proofErr w:type="spellStart"/>
      <w:r w:rsidR="00D41448">
        <w:rPr>
          <w:rFonts w:ascii="Arial" w:hAnsi="Arial" w:cs="Arial"/>
          <w:szCs w:val="24"/>
        </w:rPr>
        <w:t>Tanczer</w:t>
      </w:r>
      <w:proofErr w:type="spellEnd"/>
      <w:r w:rsidR="00D41448">
        <w:rPr>
          <w:rFonts w:ascii="Arial" w:hAnsi="Arial" w:cs="Arial"/>
          <w:szCs w:val="24"/>
        </w:rPr>
        <w:t xml:space="preserve">, 2018). </w:t>
      </w:r>
      <w:r w:rsidR="00920154">
        <w:rPr>
          <w:rFonts w:ascii="Arial" w:hAnsi="Arial" w:cs="Arial"/>
          <w:szCs w:val="24"/>
        </w:rPr>
        <w:t xml:space="preserve">Concurring, </w:t>
      </w:r>
      <w:proofErr w:type="spellStart"/>
      <w:r w:rsidR="00920154">
        <w:rPr>
          <w:rFonts w:ascii="Arial" w:hAnsi="Arial" w:cs="Arial"/>
          <w:szCs w:val="24"/>
        </w:rPr>
        <w:t>GreenPope</w:t>
      </w:r>
      <w:proofErr w:type="spellEnd"/>
      <w:r w:rsidR="00920154">
        <w:rPr>
          <w:rFonts w:ascii="Arial" w:hAnsi="Arial" w:cs="Arial"/>
          <w:szCs w:val="24"/>
        </w:rPr>
        <w:t xml:space="preserve"> and colleagues </w:t>
      </w:r>
      <w:r w:rsidR="00167165">
        <w:rPr>
          <w:rFonts w:ascii="Arial" w:hAnsi="Arial" w:cs="Arial"/>
          <w:szCs w:val="24"/>
        </w:rPr>
        <w:t xml:space="preserve">claim that ITG frameworks in term of the cost could help </w:t>
      </w:r>
      <w:r w:rsidR="004977AA">
        <w:rPr>
          <w:rFonts w:ascii="Arial" w:hAnsi="Arial" w:cs="Arial"/>
          <w:szCs w:val="24"/>
        </w:rPr>
        <w:t>decision-makers to adopt MSGS. Such adoption will he</w:t>
      </w:r>
      <w:r w:rsidR="006C5256">
        <w:rPr>
          <w:rFonts w:ascii="Arial" w:hAnsi="Arial" w:cs="Arial"/>
          <w:szCs w:val="24"/>
        </w:rPr>
        <w:t>lp decision-makers to fulfil the requirement that is tightly ch</w:t>
      </w:r>
      <w:r w:rsidR="00FC4F58">
        <w:rPr>
          <w:rFonts w:ascii="Arial" w:hAnsi="Arial" w:cs="Arial"/>
          <w:szCs w:val="24"/>
        </w:rPr>
        <w:t xml:space="preserve">oreographed, and activities that cut across organisations </w:t>
      </w:r>
      <w:r w:rsidR="005E52BB">
        <w:rPr>
          <w:rFonts w:ascii="Arial" w:hAnsi="Arial" w:cs="Arial"/>
          <w:szCs w:val="24"/>
        </w:rPr>
        <w:t xml:space="preserve">in diverse locations – both the espouse of various theories to promote </w:t>
      </w:r>
      <w:r w:rsidR="00EC60F7">
        <w:rPr>
          <w:rFonts w:ascii="Arial" w:hAnsi="Arial" w:cs="Arial"/>
          <w:szCs w:val="24"/>
        </w:rPr>
        <w:t xml:space="preserve">strategic business alignment </w:t>
      </w:r>
      <w:r w:rsidR="00224B00">
        <w:rPr>
          <w:rFonts w:ascii="Arial" w:hAnsi="Arial" w:cs="Arial"/>
          <w:szCs w:val="24"/>
        </w:rPr>
        <w:t xml:space="preserve">with an appropriate </w:t>
      </w:r>
      <w:r w:rsidR="00AA17F9">
        <w:rPr>
          <w:rFonts w:ascii="Arial" w:hAnsi="Arial" w:cs="Arial"/>
          <w:szCs w:val="24"/>
        </w:rPr>
        <w:t xml:space="preserve">scaling technique. </w:t>
      </w:r>
    </w:p>
    <w:p w14:paraId="43329161" w14:textId="084D06DB" w:rsidR="007E0F66" w:rsidRPr="00312389" w:rsidRDefault="007E0F66" w:rsidP="00AA17F9">
      <w:pPr>
        <w:spacing w:line="480" w:lineRule="auto"/>
        <w:ind w:firstLine="720"/>
        <w:jc w:val="both"/>
        <w:rPr>
          <w:rFonts w:ascii="Arial" w:hAnsi="Arial" w:cs="Arial"/>
          <w:szCs w:val="24"/>
        </w:rPr>
      </w:pPr>
      <w:proofErr w:type="spellStart"/>
      <w:r w:rsidRPr="00312389">
        <w:rPr>
          <w:rFonts w:ascii="Arial" w:hAnsi="Arial" w:cs="Arial"/>
          <w:szCs w:val="24"/>
        </w:rPr>
        <w:t>Carr</w:t>
      </w:r>
      <w:proofErr w:type="spellEnd"/>
      <w:r w:rsidRPr="00312389">
        <w:rPr>
          <w:rFonts w:ascii="Arial" w:hAnsi="Arial" w:cs="Arial"/>
          <w:szCs w:val="24"/>
        </w:rPr>
        <w:t xml:space="preserve"> and </w:t>
      </w:r>
      <w:proofErr w:type="spellStart"/>
      <w:r w:rsidRPr="00312389">
        <w:rPr>
          <w:rFonts w:ascii="Arial" w:hAnsi="Arial" w:cs="Arial"/>
          <w:szCs w:val="24"/>
        </w:rPr>
        <w:t>Tanczer</w:t>
      </w:r>
      <w:proofErr w:type="spellEnd"/>
      <w:r w:rsidRPr="00312389">
        <w:rPr>
          <w:rFonts w:ascii="Arial" w:hAnsi="Arial" w:cs="Arial"/>
          <w:szCs w:val="24"/>
        </w:rPr>
        <w:t xml:space="preserve"> argued that market failures, ongoing data breaches in UK’s SME Aviation, inadequate investment in cybersecurity, digital skills gap have a severe impact on the market as decisions makers considered cybersecurity policy as an element of business grand strategy. </w:t>
      </w:r>
      <w:proofErr w:type="spellStart"/>
      <w:r w:rsidRPr="00312389">
        <w:rPr>
          <w:rFonts w:ascii="Arial" w:hAnsi="Arial" w:cs="Arial"/>
          <w:szCs w:val="24"/>
        </w:rPr>
        <w:t>GreenPope</w:t>
      </w:r>
      <w:proofErr w:type="spellEnd"/>
      <w:r w:rsidRPr="00312389">
        <w:rPr>
          <w:rFonts w:ascii="Arial" w:hAnsi="Arial" w:cs="Arial"/>
          <w:szCs w:val="24"/>
        </w:rPr>
        <w:t xml:space="preserve"> </w:t>
      </w:r>
      <w:r w:rsidR="00B50415" w:rsidRPr="00B50415">
        <w:rPr>
          <w:rFonts w:ascii="Arial" w:hAnsi="Arial" w:cs="Arial"/>
          <w:i/>
          <w:iCs/>
          <w:szCs w:val="24"/>
        </w:rPr>
        <w:t>et al</w:t>
      </w:r>
      <w:r w:rsidRPr="00312389">
        <w:rPr>
          <w:rFonts w:ascii="Arial" w:hAnsi="Arial" w:cs="Arial"/>
          <w:szCs w:val="24"/>
        </w:rPr>
        <w:t xml:space="preserve">. (2010), OECD (2002, 2012), and </w:t>
      </w:r>
      <w:proofErr w:type="spellStart"/>
      <w:r w:rsidRPr="00312389">
        <w:rPr>
          <w:rFonts w:ascii="Arial" w:hAnsi="Arial" w:cs="Arial"/>
          <w:szCs w:val="24"/>
        </w:rPr>
        <w:t>Timmers</w:t>
      </w:r>
      <w:proofErr w:type="spellEnd"/>
      <w:r w:rsidRPr="00312389">
        <w:rPr>
          <w:rFonts w:ascii="Arial" w:hAnsi="Arial" w:cs="Arial"/>
          <w:szCs w:val="24"/>
        </w:rPr>
        <w:t xml:space="preserve"> (2018) contributed to accentuating the position as well as </w:t>
      </w:r>
      <w:r w:rsidRPr="00312389">
        <w:rPr>
          <w:rFonts w:ascii="Arial" w:hAnsi="Arial" w:cs="Arial"/>
          <w:szCs w:val="24"/>
        </w:rPr>
        <w:lastRenderedPageBreak/>
        <w:t xml:space="preserve">strengthen how regulatory compliances, private-public partnership, security culture could facilitate implementable cyber policymaking in the area of market facilitation, modification and substitution, </w:t>
      </w:r>
    </w:p>
    <w:p w14:paraId="68CBFAC5" w14:textId="57A30D1B" w:rsidR="00AD2CBC" w:rsidRPr="00312389" w:rsidRDefault="00AD2CBC" w:rsidP="00D40EBB">
      <w:pPr>
        <w:pStyle w:val="Heading3"/>
        <w:spacing w:line="480" w:lineRule="auto"/>
        <w:rPr>
          <w:rFonts w:ascii="Arial" w:hAnsi="Arial" w:cs="Arial"/>
        </w:rPr>
      </w:pPr>
      <w:r w:rsidRPr="00312389">
        <w:rPr>
          <w:rFonts w:ascii="Arial" w:hAnsi="Arial" w:cs="Arial"/>
        </w:rPr>
        <w:t>Suggestions for future students</w:t>
      </w:r>
    </w:p>
    <w:p w14:paraId="37C25222" w14:textId="77777777" w:rsidR="00B61068" w:rsidRDefault="007E0F66" w:rsidP="00B61068">
      <w:pPr>
        <w:spacing w:line="480" w:lineRule="auto"/>
        <w:ind w:firstLine="720"/>
        <w:jc w:val="both"/>
        <w:rPr>
          <w:rFonts w:ascii="Arial" w:hAnsi="Arial" w:cs="Arial"/>
          <w:szCs w:val="24"/>
        </w:rPr>
      </w:pPr>
      <w:r w:rsidRPr="00312389">
        <w:rPr>
          <w:rFonts w:ascii="Arial" w:hAnsi="Arial" w:cs="Arial"/>
          <w:szCs w:val="24"/>
        </w:rPr>
        <w:t xml:space="preserve">Considered the time and other challenges faced by the researcher to start a new research topic, future students should always select an item which is genuine of interest to them. The researcher’s academic interests have deep roots in ITG and the related pedagogical impact on SMEs; thus, the synergy for implementation of cyber policy and the process of decision making is an area that will have a significant effect on the researcher career going forward. Exploring such topic was an exciting prospect. </w:t>
      </w:r>
    </w:p>
    <w:p w14:paraId="492DD945" w14:textId="632AF96C" w:rsidR="007E0F66" w:rsidRPr="00312389" w:rsidRDefault="007E0F66" w:rsidP="00B61068">
      <w:pPr>
        <w:spacing w:line="480" w:lineRule="auto"/>
        <w:ind w:firstLine="720"/>
        <w:jc w:val="both"/>
        <w:rPr>
          <w:rFonts w:ascii="Arial" w:hAnsi="Arial" w:cs="Arial"/>
          <w:szCs w:val="24"/>
        </w:rPr>
      </w:pPr>
      <w:r w:rsidRPr="00312389">
        <w:rPr>
          <w:rFonts w:ascii="Arial" w:hAnsi="Arial" w:cs="Arial"/>
          <w:szCs w:val="24"/>
        </w:rPr>
        <w:t xml:space="preserve">Secondly, the development of exploratory secondary research skills and the critical </w:t>
      </w:r>
      <w:proofErr w:type="spellStart"/>
      <w:r w:rsidRPr="00312389">
        <w:rPr>
          <w:rFonts w:ascii="Arial" w:hAnsi="Arial" w:cs="Arial"/>
          <w:szCs w:val="24"/>
        </w:rPr>
        <w:t>mindset</w:t>
      </w:r>
      <w:proofErr w:type="spellEnd"/>
      <w:r w:rsidRPr="00312389">
        <w:rPr>
          <w:rFonts w:ascii="Arial" w:hAnsi="Arial" w:cs="Arial"/>
          <w:szCs w:val="24"/>
        </w:rPr>
        <w:t xml:space="preserve"> to analysing the secondary data should fascinate future students in cybersecurity. The researcher had some rudimentary secondary research skills before engaging with this study; however, those techniques</w:t>
      </w:r>
      <w:r w:rsidR="0062471B" w:rsidRPr="00312389">
        <w:rPr>
          <w:rFonts w:ascii="Arial" w:hAnsi="Arial" w:cs="Arial"/>
          <w:szCs w:val="24"/>
        </w:rPr>
        <w:t xml:space="preserve"> significantly improved due to this study. Undoubtedly, the critical </w:t>
      </w:r>
      <w:proofErr w:type="spellStart"/>
      <w:r w:rsidR="0062471B" w:rsidRPr="00312389">
        <w:rPr>
          <w:rFonts w:ascii="Arial" w:hAnsi="Arial" w:cs="Arial"/>
          <w:szCs w:val="24"/>
        </w:rPr>
        <w:t>mindset</w:t>
      </w:r>
      <w:proofErr w:type="spellEnd"/>
      <w:r w:rsidR="0062471B" w:rsidRPr="00312389">
        <w:rPr>
          <w:rFonts w:ascii="Arial" w:hAnsi="Arial" w:cs="Arial"/>
          <w:szCs w:val="24"/>
        </w:rPr>
        <w:t xml:space="preserve"> gained by the researcher in analysing the secondary data would prove to be a long-life benefit </w:t>
      </w:r>
      <w:r w:rsidR="0062471B">
        <w:rPr>
          <w:rFonts w:ascii="Arial" w:hAnsi="Arial" w:cs="Arial"/>
          <w:szCs w:val="24"/>
        </w:rPr>
        <w:t>and</w:t>
      </w:r>
      <w:r w:rsidR="0062471B" w:rsidRPr="00312389">
        <w:rPr>
          <w:rFonts w:ascii="Arial" w:hAnsi="Arial" w:cs="Arial"/>
          <w:szCs w:val="24"/>
        </w:rPr>
        <w:t xml:space="preserve"> further open learning and career opportunities. The researcher is considering using primary data if a chance to do a similar study or pursue </w:t>
      </w:r>
      <w:r w:rsidR="0062471B">
        <w:rPr>
          <w:rFonts w:ascii="Arial" w:hAnsi="Arial" w:cs="Arial"/>
          <w:szCs w:val="24"/>
        </w:rPr>
        <w:t>a funded project in the future</w:t>
      </w:r>
      <w:r w:rsidRPr="00312389">
        <w:rPr>
          <w:rFonts w:ascii="Arial" w:hAnsi="Arial" w:cs="Arial"/>
          <w:szCs w:val="24"/>
        </w:rPr>
        <w:t>. The choice of the UK’s SME Aviation as a case strategy was exciting.</w:t>
      </w:r>
    </w:p>
    <w:p w14:paraId="61BDD440" w14:textId="583492EC" w:rsidR="00AD2CBC" w:rsidRPr="00312389" w:rsidRDefault="00AD2CBC" w:rsidP="00D40EBB">
      <w:pPr>
        <w:pStyle w:val="Heading3"/>
        <w:spacing w:line="480" w:lineRule="auto"/>
        <w:rPr>
          <w:rFonts w:ascii="Arial" w:hAnsi="Arial" w:cs="Arial"/>
        </w:rPr>
      </w:pPr>
      <w:r w:rsidRPr="00312389">
        <w:rPr>
          <w:rFonts w:ascii="Arial" w:hAnsi="Arial" w:cs="Arial"/>
        </w:rPr>
        <w:t>Suggestions for further research</w:t>
      </w:r>
    </w:p>
    <w:p w14:paraId="194F42B0" w14:textId="77777777" w:rsidR="007E0F66" w:rsidRPr="00312389" w:rsidRDefault="007E0F66" w:rsidP="00B61068">
      <w:pPr>
        <w:spacing w:line="480" w:lineRule="auto"/>
        <w:ind w:firstLine="360"/>
        <w:jc w:val="both"/>
        <w:rPr>
          <w:rFonts w:ascii="Arial" w:hAnsi="Arial" w:cs="Arial"/>
          <w:szCs w:val="24"/>
        </w:rPr>
      </w:pPr>
      <w:r w:rsidRPr="00312389">
        <w:rPr>
          <w:rFonts w:ascii="Arial" w:hAnsi="Arial" w:cs="Arial"/>
          <w:szCs w:val="24"/>
        </w:rPr>
        <w:t>In relevance to the limitations of this exploratory study presented in section 3.5, suggestions for future research include the following:</w:t>
      </w:r>
    </w:p>
    <w:p w14:paraId="10BE1E80" w14:textId="77777777" w:rsidR="007E0F66" w:rsidRPr="00312389" w:rsidRDefault="007E0F66" w:rsidP="00D40EBB">
      <w:pPr>
        <w:numPr>
          <w:ilvl w:val="0"/>
          <w:numId w:val="13"/>
        </w:numPr>
        <w:spacing w:after="160" w:line="480" w:lineRule="auto"/>
        <w:jc w:val="both"/>
        <w:rPr>
          <w:rFonts w:ascii="Arial" w:hAnsi="Arial" w:cs="Arial"/>
          <w:szCs w:val="24"/>
        </w:rPr>
      </w:pPr>
      <w:r w:rsidRPr="00312389">
        <w:rPr>
          <w:rFonts w:ascii="Arial" w:hAnsi="Arial" w:cs="Arial"/>
          <w:szCs w:val="24"/>
        </w:rPr>
        <w:lastRenderedPageBreak/>
        <w:t>Since the sample of primary data reanalysed by the researcher was limited, future studies should consider empirical research. With this, researchers can conduct personal interviews with UK’s SMEs Aviation practitioners and academia and even other SMEs industrial sectors</w:t>
      </w:r>
    </w:p>
    <w:p w14:paraId="125DAC96" w14:textId="77777777" w:rsidR="006F118C" w:rsidRPr="00AD551E" w:rsidRDefault="0060053E" w:rsidP="00AD551E">
      <w:pPr>
        <w:numPr>
          <w:ilvl w:val="0"/>
          <w:numId w:val="13"/>
        </w:numPr>
        <w:spacing w:after="0" w:line="480" w:lineRule="auto"/>
        <w:ind w:left="714" w:hanging="357"/>
        <w:jc w:val="both"/>
        <w:rPr>
          <w:rFonts w:ascii="Arial" w:eastAsia="Times New Roman" w:hAnsi="Arial" w:cs="Arial"/>
          <w:color w:val="0E101A"/>
          <w:szCs w:val="24"/>
          <w:lang w:eastAsia="en-GB"/>
        </w:rPr>
      </w:pPr>
      <w:r w:rsidRPr="0060053E">
        <w:rPr>
          <w:rFonts w:ascii="Arial" w:eastAsia="Times New Roman" w:hAnsi="Arial" w:cs="Arial"/>
          <w:color w:val="0E101A"/>
          <w:szCs w:val="24"/>
          <w:lang w:eastAsia="en-GB"/>
        </w:rPr>
        <w:t>Since the survey included only decision-makers, future studies should consider the multiple stakeholders regarding the context of implementable cyber policy. Such could help to conduct more personal interviews with SMEs executive directors, MOD cybersecurity chief policymakers, government cybersecurity policymakers, clients of UK’s SME Aviation services and other stakeholders.</w:t>
      </w:r>
    </w:p>
    <w:p w14:paraId="172A3BAC" w14:textId="4B9E48DA" w:rsidR="00BA2F44" w:rsidRPr="00AD551E" w:rsidRDefault="00BA2F44" w:rsidP="00AD551E">
      <w:pPr>
        <w:numPr>
          <w:ilvl w:val="0"/>
          <w:numId w:val="13"/>
        </w:numPr>
        <w:spacing w:after="0" w:line="480" w:lineRule="auto"/>
        <w:ind w:left="714" w:hanging="357"/>
        <w:jc w:val="both"/>
        <w:rPr>
          <w:rFonts w:ascii="Arial" w:eastAsia="Times New Roman" w:hAnsi="Arial" w:cs="Arial"/>
          <w:color w:val="0E101A"/>
          <w:szCs w:val="24"/>
          <w:lang w:eastAsia="en-GB"/>
        </w:rPr>
      </w:pPr>
      <w:r w:rsidRPr="00AD551E">
        <w:rPr>
          <w:rFonts w:ascii="Arial" w:hAnsi="Arial" w:cs="Arial"/>
          <w:szCs w:val="24"/>
        </w:rPr>
        <w:t>Since the study centred on the UK’s SME Aviation, future studies should consider widening the scope and objectives. There could be a possibility of using primary data via interviewing across numbers of SMEs Aviation from various countries, which could be a limitation as well as an opportunity for future research.</w:t>
      </w:r>
    </w:p>
    <w:p w14:paraId="1AB3BCE7" w14:textId="4A400210" w:rsidR="007E0F66" w:rsidRPr="00312389" w:rsidRDefault="007E0F66" w:rsidP="00D40EBB">
      <w:pPr>
        <w:numPr>
          <w:ilvl w:val="0"/>
          <w:numId w:val="13"/>
        </w:numPr>
        <w:spacing w:after="160" w:line="480" w:lineRule="auto"/>
        <w:jc w:val="both"/>
        <w:rPr>
          <w:rFonts w:ascii="Arial" w:hAnsi="Arial" w:cs="Arial"/>
          <w:szCs w:val="24"/>
        </w:rPr>
      </w:pPr>
      <w:r w:rsidRPr="00312389">
        <w:rPr>
          <w:rFonts w:ascii="Arial" w:hAnsi="Arial" w:cs="Arial"/>
          <w:szCs w:val="24"/>
        </w:rPr>
        <w:t>There have been various theories of scaling technique applied to operation research, mathematics, and the likes. LI theory is gaining traction in usage; cybersecurity researcher should consider the use of LI as scaling technique to implementation of cybersecurity in SMEs and even in larger enterprises</w:t>
      </w:r>
    </w:p>
    <w:p w14:paraId="7C62B85D" w14:textId="77777777" w:rsidR="007E0F66" w:rsidRPr="00312389" w:rsidRDefault="007E0F66" w:rsidP="00D40EBB">
      <w:pPr>
        <w:numPr>
          <w:ilvl w:val="0"/>
          <w:numId w:val="13"/>
        </w:numPr>
        <w:spacing w:after="160" w:line="480" w:lineRule="auto"/>
        <w:jc w:val="both"/>
        <w:rPr>
          <w:rFonts w:ascii="Arial" w:hAnsi="Arial" w:cs="Arial"/>
          <w:szCs w:val="24"/>
        </w:rPr>
      </w:pPr>
      <w:r w:rsidRPr="00312389">
        <w:rPr>
          <w:rFonts w:ascii="Arial" w:hAnsi="Arial" w:cs="Arial"/>
          <w:szCs w:val="24"/>
        </w:rPr>
        <w:t>Future researchers should consider the use of other analytical tools as well as giving more profound thought to the use of quantitative research approaches. With this, the process could entail permit hypothesis testing and allow the measurements of the variable in fixing vulnerabilities of ITG models with appropriate, less expensive and ethical scaling technique.</w:t>
      </w:r>
    </w:p>
    <w:p w14:paraId="4E9DE4BF" w14:textId="77777777" w:rsidR="00B61068" w:rsidRDefault="007E0F66" w:rsidP="00B61068">
      <w:pPr>
        <w:spacing w:line="480" w:lineRule="auto"/>
        <w:ind w:firstLine="360"/>
        <w:jc w:val="both"/>
        <w:rPr>
          <w:rFonts w:ascii="Arial" w:hAnsi="Arial" w:cs="Arial"/>
          <w:szCs w:val="24"/>
        </w:rPr>
      </w:pPr>
      <w:r w:rsidRPr="00312389">
        <w:rPr>
          <w:rFonts w:ascii="Arial" w:hAnsi="Arial" w:cs="Arial"/>
          <w:szCs w:val="24"/>
        </w:rPr>
        <w:lastRenderedPageBreak/>
        <w:t>Nonetheless, the analytical approach adopted in chapter 4 help to improve the confidence of the researcher in the use of secondary data and to underscore the difficulties associated with its usage. The critical analysis of secondary data also affords the research another opportunity in the prioritising of data according to the themes and criteria in provision within ITG frameworks. </w:t>
      </w:r>
    </w:p>
    <w:p w14:paraId="47D59AF7" w14:textId="027560B6" w:rsidR="007E0F66" w:rsidRPr="00312389" w:rsidRDefault="007E0F66" w:rsidP="00B61068">
      <w:pPr>
        <w:spacing w:line="480" w:lineRule="auto"/>
        <w:ind w:firstLine="360"/>
        <w:jc w:val="both"/>
        <w:rPr>
          <w:rFonts w:ascii="Arial" w:hAnsi="Arial" w:cs="Arial"/>
          <w:szCs w:val="24"/>
        </w:rPr>
      </w:pPr>
      <w:r w:rsidRPr="00312389">
        <w:rPr>
          <w:rFonts w:ascii="Arial" w:hAnsi="Arial" w:cs="Arial"/>
          <w:szCs w:val="24"/>
        </w:rPr>
        <w:t xml:space="preserve">The summary of findings in section 4.5 could qualify the researcher suggestions to practitioners and decision-makers in UK’s SME Aviation as well as provide a long-life positive impact of the researcher career in Information Assurance and Risk Management. This study has also allowed the researcher to work with </w:t>
      </w:r>
      <w:r w:rsidR="00B734AF">
        <w:rPr>
          <w:rFonts w:ascii="Arial" w:hAnsi="Arial" w:cs="Arial"/>
          <w:szCs w:val="24"/>
        </w:rPr>
        <w:t>manifold experts</w:t>
      </w:r>
      <w:r w:rsidRPr="00312389">
        <w:rPr>
          <w:rFonts w:ascii="Arial" w:hAnsi="Arial" w:cs="Arial"/>
          <w:szCs w:val="24"/>
        </w:rPr>
        <w:t xml:space="preserve"> who allowed the researcher to develop a mentor/mentee relationship with a </w:t>
      </w:r>
      <w:r w:rsidR="005326F1">
        <w:rPr>
          <w:rFonts w:ascii="Arial" w:hAnsi="Arial" w:cs="Arial"/>
          <w:szCs w:val="24"/>
        </w:rPr>
        <w:t xml:space="preserve">specific </w:t>
      </w:r>
      <w:r w:rsidRPr="00312389">
        <w:rPr>
          <w:rFonts w:ascii="Arial" w:hAnsi="Arial" w:cs="Arial"/>
          <w:szCs w:val="24"/>
        </w:rPr>
        <w:t xml:space="preserve">cybersecurity </w:t>
      </w:r>
      <w:r w:rsidR="005326F1" w:rsidRPr="00312389">
        <w:rPr>
          <w:rFonts w:ascii="Arial" w:hAnsi="Arial" w:cs="Arial"/>
          <w:szCs w:val="24"/>
        </w:rPr>
        <w:t>authority</w:t>
      </w:r>
      <w:r w:rsidRPr="00312389">
        <w:rPr>
          <w:rFonts w:ascii="Arial" w:hAnsi="Arial" w:cs="Arial"/>
          <w:szCs w:val="24"/>
        </w:rPr>
        <w:t xml:space="preserve"> in UK Aviation industry. Overall, the researcher feels more confidence at the end of this study to pursue further research in this field of cybersecurity.  </w:t>
      </w:r>
    </w:p>
    <w:p w14:paraId="2A26AF8D" w14:textId="2F9E5D4B" w:rsidR="00AD2CBC" w:rsidRPr="00312389" w:rsidRDefault="00AD2CBC" w:rsidP="00D40EBB">
      <w:pPr>
        <w:pStyle w:val="Heading2"/>
        <w:spacing w:line="480" w:lineRule="auto"/>
        <w:rPr>
          <w:rFonts w:ascii="Arial" w:hAnsi="Arial" w:cs="Arial"/>
        </w:rPr>
      </w:pPr>
      <w:bookmarkStart w:id="48" w:name="_Toc72189398"/>
      <w:r w:rsidRPr="00312389">
        <w:rPr>
          <w:rFonts w:ascii="Arial" w:hAnsi="Arial" w:cs="Arial"/>
        </w:rPr>
        <w:t>Summary and Conclusions</w:t>
      </w:r>
      <w:bookmarkEnd w:id="48"/>
      <w:r w:rsidRPr="00312389">
        <w:rPr>
          <w:rFonts w:ascii="Arial" w:hAnsi="Arial" w:cs="Arial"/>
        </w:rPr>
        <w:t xml:space="preserve"> </w:t>
      </w:r>
    </w:p>
    <w:p w14:paraId="600901A5" w14:textId="3B249B8A" w:rsidR="007E0F66" w:rsidRPr="00312389" w:rsidRDefault="00AE1C53" w:rsidP="00AE1C53">
      <w:pPr>
        <w:spacing w:line="480" w:lineRule="auto"/>
        <w:ind w:firstLine="576"/>
        <w:jc w:val="both"/>
        <w:rPr>
          <w:rFonts w:ascii="Arial" w:hAnsi="Arial" w:cs="Arial"/>
          <w:szCs w:val="24"/>
        </w:rPr>
      </w:pPr>
      <w:r w:rsidRPr="00AE1C53">
        <w:rPr>
          <w:rFonts w:ascii="Arial" w:hAnsi="Arial" w:cs="Arial"/>
          <w:szCs w:val="24"/>
        </w:rPr>
        <w:t>Having explored the relationship between ITG and MSGS, decision-makers within the UK’s SME Aviation connected to developing issues in the sector; the researcher offers suggestions based on the study findings, conclusions, and self-reflection for possible future work. The results derived from research findings and the formulated list of recommendations conclude this study.</w:t>
      </w:r>
    </w:p>
    <w:p w14:paraId="2F82F3D6" w14:textId="43CEC41C" w:rsidR="008D467E" w:rsidRPr="00312389" w:rsidRDefault="008D467E" w:rsidP="00D40EBB">
      <w:pPr>
        <w:spacing w:line="480" w:lineRule="auto"/>
        <w:jc w:val="both"/>
        <w:rPr>
          <w:rFonts w:ascii="Arial" w:hAnsi="Arial" w:cs="Arial"/>
          <w:szCs w:val="24"/>
        </w:rPr>
      </w:pPr>
    </w:p>
    <w:p w14:paraId="763A6C64" w14:textId="77777777" w:rsidR="008D467E" w:rsidRPr="00312389" w:rsidRDefault="008D467E" w:rsidP="00D40EBB">
      <w:pPr>
        <w:spacing w:line="480" w:lineRule="auto"/>
        <w:jc w:val="both"/>
        <w:rPr>
          <w:rFonts w:ascii="Arial" w:hAnsi="Arial" w:cs="Arial"/>
          <w:szCs w:val="24"/>
        </w:rPr>
      </w:pPr>
    </w:p>
    <w:p w14:paraId="6665F68F" w14:textId="77777777" w:rsidR="00930821" w:rsidRPr="00312389" w:rsidRDefault="00930821" w:rsidP="00D40EBB">
      <w:pPr>
        <w:spacing w:line="480" w:lineRule="auto"/>
        <w:rPr>
          <w:rFonts w:ascii="Arial" w:hAnsi="Arial" w:cs="Arial"/>
          <w:szCs w:val="24"/>
        </w:rPr>
      </w:pPr>
      <w:r w:rsidRPr="00312389">
        <w:rPr>
          <w:rFonts w:ascii="Arial" w:hAnsi="Arial" w:cs="Arial"/>
          <w:szCs w:val="24"/>
        </w:rPr>
        <w:br w:type="page"/>
      </w:r>
    </w:p>
    <w:p w14:paraId="35822175" w14:textId="77777777" w:rsidR="002E234C" w:rsidRPr="00312389" w:rsidRDefault="002E234C" w:rsidP="00D40EBB">
      <w:pPr>
        <w:pStyle w:val="UnnumberedHeading"/>
        <w:spacing w:line="480" w:lineRule="auto"/>
        <w:rPr>
          <w:rFonts w:ascii="Arial" w:hAnsi="Arial" w:cs="Arial"/>
        </w:rPr>
      </w:pPr>
      <w:bookmarkStart w:id="49" w:name="_Toc72189399"/>
      <w:r w:rsidRPr="00312389">
        <w:rPr>
          <w:rFonts w:ascii="Arial" w:hAnsi="Arial" w:cs="Arial"/>
        </w:rPr>
        <w:lastRenderedPageBreak/>
        <w:t>Bibliography</w:t>
      </w:r>
      <w:bookmarkEnd w:id="49"/>
    </w:p>
    <w:p w14:paraId="734C0605" w14:textId="5370FA55" w:rsidR="00DA4FB3" w:rsidRPr="00312389" w:rsidRDefault="00DA4FB3" w:rsidP="00D40EBB">
      <w:pPr>
        <w:spacing w:line="480" w:lineRule="auto"/>
        <w:rPr>
          <w:rFonts w:ascii="Arial" w:hAnsi="Arial" w:cs="Arial"/>
        </w:rPr>
      </w:pPr>
      <w:proofErr w:type="spellStart"/>
      <w:r w:rsidRPr="00312389">
        <w:rPr>
          <w:rFonts w:ascii="Arial" w:hAnsi="Arial" w:cs="Arial"/>
        </w:rPr>
        <w:t>Aasi</w:t>
      </w:r>
      <w:proofErr w:type="spellEnd"/>
      <w:r w:rsidRPr="00312389">
        <w:rPr>
          <w:rFonts w:ascii="Arial" w:hAnsi="Arial" w:cs="Arial"/>
        </w:rPr>
        <w:t xml:space="preserve">, P., </w:t>
      </w:r>
      <w:proofErr w:type="spellStart"/>
      <w:r w:rsidRPr="00312389">
        <w:rPr>
          <w:rFonts w:ascii="Arial" w:hAnsi="Arial" w:cs="Arial"/>
        </w:rPr>
        <w:t>Rusu</w:t>
      </w:r>
      <w:proofErr w:type="spellEnd"/>
      <w:r w:rsidRPr="00312389">
        <w:rPr>
          <w:rFonts w:ascii="Arial" w:hAnsi="Arial" w:cs="Arial"/>
        </w:rPr>
        <w:t xml:space="preserve">, L. and </w:t>
      </w:r>
      <w:proofErr w:type="spellStart"/>
      <w:r w:rsidRPr="00312389">
        <w:rPr>
          <w:rFonts w:ascii="Arial" w:hAnsi="Arial" w:cs="Arial"/>
        </w:rPr>
        <w:t>Leidner</w:t>
      </w:r>
      <w:proofErr w:type="spellEnd"/>
      <w:r w:rsidRPr="00312389">
        <w:rPr>
          <w:rFonts w:ascii="Arial" w:hAnsi="Arial" w:cs="Arial"/>
        </w:rPr>
        <w:t xml:space="preserve">, D. (2017). </w:t>
      </w:r>
      <w:r w:rsidRPr="00DB111D">
        <w:rPr>
          <w:rFonts w:ascii="Arial" w:hAnsi="Arial" w:cs="Arial"/>
          <w:u w:val="single"/>
        </w:rPr>
        <w:t>IT organizational structure relationship with IT governance performance: case of a public organization</w:t>
      </w:r>
      <w:r w:rsidRPr="00312389">
        <w:rPr>
          <w:rFonts w:ascii="Arial" w:hAnsi="Arial" w:cs="Arial"/>
        </w:rPr>
        <w:t xml:space="preserve">. In </w:t>
      </w:r>
      <w:r w:rsidRPr="00312389">
        <w:rPr>
          <w:rFonts w:ascii="Arial" w:hAnsi="Arial" w:cs="Arial"/>
          <w:i/>
        </w:rPr>
        <w:t>Information Technology Governance in Public Organizations</w:t>
      </w:r>
      <w:r w:rsidR="00B61068">
        <w:rPr>
          <w:rFonts w:ascii="Arial" w:hAnsi="Arial" w:cs="Arial"/>
        </w:rPr>
        <w:t xml:space="preserve"> </w:t>
      </w:r>
      <w:r w:rsidRPr="00312389">
        <w:rPr>
          <w:rFonts w:ascii="Arial" w:hAnsi="Arial" w:cs="Arial"/>
        </w:rPr>
        <w:t xml:space="preserve">(pp. 229-252). Springer, Cham. </w:t>
      </w:r>
    </w:p>
    <w:p w14:paraId="56879EB1" w14:textId="76BB6505" w:rsidR="00984C00" w:rsidRDefault="001C3FA2" w:rsidP="00D40EBB">
      <w:pPr>
        <w:spacing w:line="480" w:lineRule="auto"/>
        <w:rPr>
          <w:rFonts w:ascii="Arial" w:hAnsi="Arial" w:cs="Arial"/>
        </w:rPr>
      </w:pPr>
      <w:proofErr w:type="spellStart"/>
      <w:r w:rsidRPr="001C3FA2">
        <w:rPr>
          <w:rFonts w:ascii="Arial" w:hAnsi="Arial" w:cs="Arial"/>
        </w:rPr>
        <w:t>Ademola</w:t>
      </w:r>
      <w:proofErr w:type="spellEnd"/>
      <w:r w:rsidRPr="001C3FA2">
        <w:rPr>
          <w:rFonts w:ascii="Arial" w:hAnsi="Arial" w:cs="Arial"/>
        </w:rPr>
        <w:t>, E.O. (2021)</w:t>
      </w:r>
      <w:r>
        <w:rPr>
          <w:rFonts w:ascii="Arial" w:hAnsi="Arial" w:cs="Arial"/>
        </w:rPr>
        <w:t xml:space="preserve">. </w:t>
      </w:r>
      <w:r w:rsidRPr="00E40093">
        <w:rPr>
          <w:rFonts w:ascii="Arial" w:hAnsi="Arial" w:cs="Arial"/>
          <w:u w:val="single"/>
        </w:rPr>
        <w:t>Towards an Effective Information Assurance and Risk Management (IA&amp;RM) Guide: A Case Study</w:t>
      </w:r>
      <w:r w:rsidRPr="001C3FA2">
        <w:rPr>
          <w:rFonts w:ascii="Arial" w:hAnsi="Arial" w:cs="Arial"/>
        </w:rPr>
        <w:t xml:space="preserve">. </w:t>
      </w:r>
      <w:r w:rsidRPr="00E40093">
        <w:rPr>
          <w:rFonts w:ascii="Arial" w:hAnsi="Arial" w:cs="Arial"/>
          <w:i/>
          <w:iCs/>
        </w:rPr>
        <w:t>Journal of Behavioural Informatics, Digital Humanities and Development Research</w:t>
      </w:r>
      <w:r w:rsidRPr="001C3FA2">
        <w:rPr>
          <w:rFonts w:ascii="Arial" w:hAnsi="Arial" w:cs="Arial"/>
        </w:rPr>
        <w:t xml:space="preserve">. </w:t>
      </w:r>
      <w:r w:rsidRPr="00913566">
        <w:rPr>
          <w:rFonts w:ascii="Arial" w:hAnsi="Arial" w:cs="Arial"/>
          <w:i/>
          <w:iCs/>
        </w:rPr>
        <w:t>7</w:t>
      </w:r>
      <w:r w:rsidR="00913566">
        <w:rPr>
          <w:rFonts w:ascii="Arial" w:hAnsi="Arial" w:cs="Arial"/>
          <w:i/>
          <w:iCs/>
        </w:rPr>
        <w:t>(</w:t>
      </w:r>
      <w:r w:rsidRPr="001C3FA2">
        <w:rPr>
          <w:rFonts w:ascii="Arial" w:hAnsi="Arial" w:cs="Arial"/>
        </w:rPr>
        <w:t>1</w:t>
      </w:r>
      <w:r w:rsidR="00913566">
        <w:rPr>
          <w:rFonts w:ascii="Arial" w:hAnsi="Arial" w:cs="Arial"/>
        </w:rPr>
        <w:t xml:space="preserve">), </w:t>
      </w:r>
      <w:r w:rsidR="007F76ED">
        <w:rPr>
          <w:rFonts w:ascii="Arial" w:hAnsi="Arial" w:cs="Arial"/>
        </w:rPr>
        <w:t>45</w:t>
      </w:r>
      <w:r w:rsidR="00E40093">
        <w:rPr>
          <w:rFonts w:ascii="Arial" w:hAnsi="Arial" w:cs="Arial"/>
        </w:rPr>
        <w:t>-56.</w:t>
      </w:r>
    </w:p>
    <w:p w14:paraId="46538278" w14:textId="6B1D1A52" w:rsidR="000027CA" w:rsidRDefault="000027CA" w:rsidP="00D40EBB">
      <w:pPr>
        <w:spacing w:line="480" w:lineRule="auto"/>
        <w:rPr>
          <w:rFonts w:ascii="Arial" w:hAnsi="Arial" w:cs="Arial"/>
        </w:rPr>
      </w:pPr>
      <w:proofErr w:type="spellStart"/>
      <w:r w:rsidRPr="000027CA">
        <w:rPr>
          <w:rFonts w:ascii="Arial" w:hAnsi="Arial" w:cs="Arial"/>
        </w:rPr>
        <w:t>Ademola</w:t>
      </w:r>
      <w:proofErr w:type="spellEnd"/>
      <w:r w:rsidRPr="000027CA">
        <w:rPr>
          <w:rFonts w:ascii="Arial" w:hAnsi="Arial" w:cs="Arial"/>
        </w:rPr>
        <w:t xml:space="preserve">, E. O. (2020). </w:t>
      </w:r>
      <w:r w:rsidRPr="006717EC">
        <w:rPr>
          <w:rFonts w:ascii="Arial" w:hAnsi="Arial" w:cs="Arial"/>
          <w:u w:val="single"/>
        </w:rPr>
        <w:t>An Investigation of The Vulnerability of Information Technology Governance (ITG) Models And Multi-Stakeholder Security Governance Scaling (MSGS) Correlates that Supports Decision-Makers Scalability Mechanism for the Successful Implementation of ITG Within UK's SME Aviation</w:t>
      </w:r>
      <w:r w:rsidRPr="000027CA">
        <w:rPr>
          <w:rFonts w:ascii="Arial" w:hAnsi="Arial" w:cs="Arial"/>
        </w:rPr>
        <w:t>. </w:t>
      </w:r>
      <w:r w:rsidRPr="000027CA">
        <w:rPr>
          <w:rFonts w:ascii="Arial" w:hAnsi="Arial" w:cs="Arial"/>
          <w:i/>
          <w:iCs/>
        </w:rPr>
        <w:t>Social Informatics</w:t>
      </w:r>
      <w:r w:rsidRPr="000027CA">
        <w:rPr>
          <w:rFonts w:ascii="Arial" w:hAnsi="Arial" w:cs="Arial"/>
        </w:rPr>
        <w:t>, </w:t>
      </w:r>
      <w:r w:rsidRPr="000027CA">
        <w:rPr>
          <w:rFonts w:ascii="Arial" w:hAnsi="Arial" w:cs="Arial"/>
          <w:i/>
          <w:iCs/>
        </w:rPr>
        <w:t>6</w:t>
      </w:r>
      <w:r w:rsidRPr="000027CA">
        <w:rPr>
          <w:rFonts w:ascii="Arial" w:hAnsi="Arial" w:cs="Arial"/>
        </w:rPr>
        <w:t>(1), 1-12.</w:t>
      </w:r>
    </w:p>
    <w:p w14:paraId="5135FD5E" w14:textId="3210B744" w:rsidR="0051257E" w:rsidRDefault="0051257E" w:rsidP="00D40EBB">
      <w:pPr>
        <w:spacing w:line="480" w:lineRule="auto"/>
        <w:rPr>
          <w:rFonts w:ascii="Arial" w:hAnsi="Arial" w:cs="Arial"/>
        </w:rPr>
      </w:pPr>
      <w:proofErr w:type="spellStart"/>
      <w:r w:rsidRPr="0051257E">
        <w:rPr>
          <w:rFonts w:ascii="Arial" w:hAnsi="Arial" w:cs="Arial"/>
        </w:rPr>
        <w:t>Ademola</w:t>
      </w:r>
      <w:proofErr w:type="spellEnd"/>
      <w:r w:rsidRPr="0051257E">
        <w:rPr>
          <w:rFonts w:ascii="Arial" w:hAnsi="Arial" w:cs="Arial"/>
        </w:rPr>
        <w:t xml:space="preserve">, E. O. (2019). </w:t>
      </w:r>
      <w:r w:rsidRPr="00DB111D">
        <w:rPr>
          <w:rFonts w:ascii="Arial" w:hAnsi="Arial" w:cs="Arial"/>
          <w:u w:val="single"/>
        </w:rPr>
        <w:t>Insights into Cyber Policies, Information Technology Governance (ITG) and, Multi-stakeholder Security Governance Scaling (MSGS) for Decision Makers within UK SME Aviation</w:t>
      </w:r>
      <w:r w:rsidRPr="0051257E">
        <w:rPr>
          <w:rFonts w:ascii="Arial" w:hAnsi="Arial" w:cs="Arial"/>
        </w:rPr>
        <w:t>. </w:t>
      </w:r>
      <w:r w:rsidRPr="0051257E">
        <w:rPr>
          <w:rFonts w:ascii="Arial" w:hAnsi="Arial" w:cs="Arial"/>
          <w:i/>
          <w:iCs/>
        </w:rPr>
        <w:t xml:space="preserve">Journal of </w:t>
      </w:r>
      <w:proofErr w:type="spellStart"/>
      <w:r w:rsidRPr="0051257E">
        <w:rPr>
          <w:rFonts w:ascii="Arial" w:hAnsi="Arial" w:cs="Arial"/>
          <w:i/>
          <w:iCs/>
        </w:rPr>
        <w:t>Behavioral</w:t>
      </w:r>
      <w:proofErr w:type="spellEnd"/>
      <w:r w:rsidRPr="0051257E">
        <w:rPr>
          <w:rFonts w:ascii="Arial" w:hAnsi="Arial" w:cs="Arial"/>
          <w:i/>
          <w:iCs/>
        </w:rPr>
        <w:t xml:space="preserve"> Informatics</w:t>
      </w:r>
      <w:r w:rsidRPr="0051257E">
        <w:rPr>
          <w:rFonts w:ascii="Arial" w:hAnsi="Arial" w:cs="Arial"/>
        </w:rPr>
        <w:t>, </w:t>
      </w:r>
      <w:r w:rsidRPr="0051257E">
        <w:rPr>
          <w:rFonts w:ascii="Arial" w:hAnsi="Arial" w:cs="Arial"/>
          <w:i/>
          <w:iCs/>
        </w:rPr>
        <w:t>5</w:t>
      </w:r>
      <w:r w:rsidRPr="0051257E">
        <w:rPr>
          <w:rFonts w:ascii="Arial" w:hAnsi="Arial" w:cs="Arial"/>
        </w:rPr>
        <w:t>(4), 1-14.</w:t>
      </w:r>
    </w:p>
    <w:p w14:paraId="7EBD723C" w14:textId="0CC08834" w:rsidR="00642D5B" w:rsidRPr="00312389" w:rsidRDefault="00642D5B" w:rsidP="00D40EBB">
      <w:pPr>
        <w:spacing w:line="480" w:lineRule="auto"/>
        <w:rPr>
          <w:rFonts w:ascii="Arial" w:hAnsi="Arial" w:cs="Arial"/>
        </w:rPr>
      </w:pPr>
      <w:r w:rsidRPr="00312389">
        <w:rPr>
          <w:rFonts w:ascii="Arial" w:hAnsi="Arial" w:cs="Arial"/>
        </w:rPr>
        <w:t xml:space="preserve">Aggarwal, V.K. and </w:t>
      </w:r>
      <w:proofErr w:type="spellStart"/>
      <w:r w:rsidRPr="00312389">
        <w:rPr>
          <w:rFonts w:ascii="Arial" w:hAnsi="Arial" w:cs="Arial"/>
        </w:rPr>
        <w:t>Reddie</w:t>
      </w:r>
      <w:proofErr w:type="spellEnd"/>
      <w:r w:rsidRPr="00312389">
        <w:rPr>
          <w:rFonts w:ascii="Arial" w:hAnsi="Arial" w:cs="Arial"/>
        </w:rPr>
        <w:t>, A.W.</w:t>
      </w:r>
      <w:r w:rsidR="00EB22A7" w:rsidRPr="00312389">
        <w:rPr>
          <w:rFonts w:ascii="Arial" w:hAnsi="Arial" w:cs="Arial"/>
        </w:rPr>
        <w:t xml:space="preserve"> </w:t>
      </w:r>
      <w:r w:rsidRPr="00312389">
        <w:rPr>
          <w:rFonts w:ascii="Arial" w:hAnsi="Arial" w:cs="Arial"/>
        </w:rPr>
        <w:t xml:space="preserve">(2018). </w:t>
      </w:r>
      <w:r w:rsidRPr="005B71D8">
        <w:rPr>
          <w:rFonts w:ascii="Arial" w:hAnsi="Arial" w:cs="Arial"/>
          <w:u w:val="single"/>
        </w:rPr>
        <w:t>Comparative industrial policy and cybersecurity: a framework for analysis</w:t>
      </w:r>
      <w:r w:rsidRPr="00312389">
        <w:rPr>
          <w:rFonts w:ascii="Arial" w:hAnsi="Arial" w:cs="Arial"/>
        </w:rPr>
        <w:t>. </w:t>
      </w:r>
      <w:r w:rsidRPr="00312389">
        <w:rPr>
          <w:rFonts w:ascii="Arial" w:hAnsi="Arial" w:cs="Arial"/>
          <w:i/>
          <w:iCs/>
        </w:rPr>
        <w:t>Journal of Cyber Policy</w:t>
      </w:r>
      <w:r w:rsidRPr="00312389">
        <w:rPr>
          <w:rFonts w:ascii="Arial" w:hAnsi="Arial" w:cs="Arial"/>
        </w:rPr>
        <w:t>, </w:t>
      </w:r>
      <w:r w:rsidRPr="00312389">
        <w:rPr>
          <w:rFonts w:ascii="Arial" w:hAnsi="Arial" w:cs="Arial"/>
          <w:i/>
          <w:iCs/>
        </w:rPr>
        <w:t>3</w:t>
      </w:r>
      <w:r w:rsidRPr="00312389">
        <w:rPr>
          <w:rFonts w:ascii="Arial" w:hAnsi="Arial" w:cs="Arial"/>
        </w:rPr>
        <w:t>(3), pp.291-305.</w:t>
      </w:r>
    </w:p>
    <w:p w14:paraId="44D45E8F" w14:textId="1F56E837" w:rsidR="00642D5B" w:rsidRPr="00312389" w:rsidRDefault="00642D5B" w:rsidP="00D40EBB">
      <w:pPr>
        <w:spacing w:line="480" w:lineRule="auto"/>
        <w:rPr>
          <w:rFonts w:ascii="Arial" w:hAnsi="Arial" w:cs="Arial"/>
        </w:rPr>
      </w:pPr>
      <w:r w:rsidRPr="00312389">
        <w:rPr>
          <w:rFonts w:ascii="Arial" w:hAnsi="Arial" w:cs="Arial"/>
        </w:rPr>
        <w:t xml:space="preserve">Aggarwal, V.K. and </w:t>
      </w:r>
      <w:proofErr w:type="spellStart"/>
      <w:r w:rsidRPr="00312389">
        <w:rPr>
          <w:rFonts w:ascii="Arial" w:hAnsi="Arial" w:cs="Arial"/>
        </w:rPr>
        <w:t>Reddie</w:t>
      </w:r>
      <w:proofErr w:type="spellEnd"/>
      <w:r w:rsidRPr="00312389">
        <w:rPr>
          <w:rFonts w:ascii="Arial" w:hAnsi="Arial" w:cs="Arial"/>
        </w:rPr>
        <w:t xml:space="preserve">, A.W. </w:t>
      </w:r>
      <w:r w:rsidR="00EB22A7" w:rsidRPr="00312389">
        <w:rPr>
          <w:rFonts w:ascii="Arial" w:hAnsi="Arial" w:cs="Arial"/>
        </w:rPr>
        <w:t>(</w:t>
      </w:r>
      <w:r w:rsidRPr="00312389">
        <w:rPr>
          <w:rFonts w:ascii="Arial" w:hAnsi="Arial" w:cs="Arial"/>
        </w:rPr>
        <w:t>2018</w:t>
      </w:r>
      <w:r w:rsidR="00EB22A7" w:rsidRPr="00312389">
        <w:rPr>
          <w:rFonts w:ascii="Arial" w:hAnsi="Arial" w:cs="Arial"/>
        </w:rPr>
        <w:t>)</w:t>
      </w:r>
      <w:r w:rsidRPr="00312389">
        <w:rPr>
          <w:rFonts w:ascii="Arial" w:hAnsi="Arial" w:cs="Arial"/>
        </w:rPr>
        <w:t xml:space="preserve">. </w:t>
      </w:r>
      <w:r w:rsidRPr="005B71D8">
        <w:rPr>
          <w:rFonts w:ascii="Arial" w:hAnsi="Arial" w:cs="Arial"/>
          <w:u w:val="single"/>
        </w:rPr>
        <w:t>Comparative industrial policy and cybersecurity: the US case</w:t>
      </w:r>
      <w:r w:rsidRPr="00312389">
        <w:rPr>
          <w:rFonts w:ascii="Arial" w:hAnsi="Arial" w:cs="Arial"/>
        </w:rPr>
        <w:t>. </w:t>
      </w:r>
      <w:r w:rsidRPr="00312389">
        <w:rPr>
          <w:rFonts w:ascii="Arial" w:hAnsi="Arial" w:cs="Arial"/>
          <w:i/>
          <w:iCs/>
        </w:rPr>
        <w:t>Journal of Cyber Policy</w:t>
      </w:r>
      <w:r w:rsidRPr="00312389">
        <w:rPr>
          <w:rFonts w:ascii="Arial" w:hAnsi="Arial" w:cs="Arial"/>
        </w:rPr>
        <w:t>, </w:t>
      </w:r>
      <w:r w:rsidRPr="00312389">
        <w:rPr>
          <w:rFonts w:ascii="Arial" w:hAnsi="Arial" w:cs="Arial"/>
          <w:i/>
          <w:iCs/>
        </w:rPr>
        <w:t>3</w:t>
      </w:r>
      <w:r w:rsidRPr="00312389">
        <w:rPr>
          <w:rFonts w:ascii="Arial" w:hAnsi="Arial" w:cs="Arial"/>
        </w:rPr>
        <w:t>(3), pp.445-466.</w:t>
      </w:r>
    </w:p>
    <w:p w14:paraId="5BB6C026" w14:textId="77777777" w:rsidR="001C5EF1" w:rsidRPr="00312389" w:rsidRDefault="00DA4FB3" w:rsidP="00D40EBB">
      <w:pPr>
        <w:spacing w:line="480" w:lineRule="auto"/>
        <w:rPr>
          <w:rFonts w:ascii="Arial" w:hAnsi="Arial" w:cs="Arial"/>
        </w:rPr>
      </w:pPr>
      <w:r w:rsidRPr="00312389">
        <w:rPr>
          <w:rFonts w:ascii="Arial" w:hAnsi="Arial" w:cs="Arial"/>
        </w:rPr>
        <w:lastRenderedPageBreak/>
        <w:t xml:space="preserve">Aldrich, H.E. and </w:t>
      </w:r>
      <w:proofErr w:type="spellStart"/>
      <w:r w:rsidRPr="00312389">
        <w:rPr>
          <w:rFonts w:ascii="Arial" w:hAnsi="Arial" w:cs="Arial"/>
        </w:rPr>
        <w:t>Wiedenmayer</w:t>
      </w:r>
      <w:proofErr w:type="spellEnd"/>
      <w:r w:rsidRPr="00312389">
        <w:rPr>
          <w:rFonts w:ascii="Arial" w:hAnsi="Arial" w:cs="Arial"/>
        </w:rPr>
        <w:t xml:space="preserve">, G. (2019). </w:t>
      </w:r>
      <w:r w:rsidRPr="005B71D8">
        <w:rPr>
          <w:rFonts w:ascii="Arial" w:hAnsi="Arial" w:cs="Arial"/>
          <w:u w:val="single"/>
        </w:rPr>
        <w:t xml:space="preserve">From traits to rates: An ecological perspective on organizational </w:t>
      </w:r>
      <w:proofErr w:type="spellStart"/>
      <w:r w:rsidRPr="005B71D8">
        <w:rPr>
          <w:rFonts w:ascii="Arial" w:hAnsi="Arial" w:cs="Arial"/>
          <w:u w:val="single"/>
        </w:rPr>
        <w:t>foundings</w:t>
      </w:r>
      <w:proofErr w:type="spellEnd"/>
      <w:r w:rsidRPr="00312389">
        <w:rPr>
          <w:rFonts w:ascii="Arial" w:hAnsi="Arial" w:cs="Arial"/>
        </w:rPr>
        <w:t>. In ​</w:t>
      </w:r>
      <w:r w:rsidRPr="00312389">
        <w:rPr>
          <w:rFonts w:ascii="Arial" w:hAnsi="Arial" w:cs="Arial"/>
          <w:i/>
        </w:rPr>
        <w:t>Seminal Ideas for the Next Twenty-Five Years of Advances</w:t>
      </w:r>
      <w:r w:rsidRPr="00312389">
        <w:rPr>
          <w:rFonts w:ascii="Arial" w:hAnsi="Arial" w:cs="Arial"/>
        </w:rPr>
        <w:t>​(pp. 61-97). Emerald Publishing Limited.</w:t>
      </w:r>
    </w:p>
    <w:p w14:paraId="7643F59C" w14:textId="77777777" w:rsidR="001C5EF1" w:rsidRPr="00312389" w:rsidRDefault="001C5EF1" w:rsidP="00D40EBB">
      <w:pPr>
        <w:spacing w:line="480" w:lineRule="auto"/>
        <w:rPr>
          <w:rFonts w:ascii="Arial" w:hAnsi="Arial" w:cs="Arial"/>
        </w:rPr>
      </w:pPr>
      <w:proofErr w:type="spellStart"/>
      <w:r w:rsidRPr="00312389">
        <w:rPr>
          <w:rFonts w:ascii="Arial" w:hAnsi="Arial" w:cs="Arial"/>
        </w:rPr>
        <w:t>Alhaj</w:t>
      </w:r>
      <w:proofErr w:type="spellEnd"/>
      <w:r w:rsidRPr="00312389">
        <w:rPr>
          <w:rFonts w:ascii="Arial" w:hAnsi="Arial" w:cs="Arial"/>
        </w:rPr>
        <w:t>, S.T.S. (2006). </w:t>
      </w:r>
      <w:r w:rsidRPr="00BD3CFB">
        <w:rPr>
          <w:rFonts w:ascii="Arial" w:hAnsi="Arial" w:cs="Arial"/>
          <w:u w:val="single"/>
        </w:rPr>
        <w:t>Barriers of implementing ISO 9001: 2000 in the government departments and authorities in the Emirate of Sharjah</w:t>
      </w:r>
      <w:r w:rsidRPr="00312389">
        <w:rPr>
          <w:rFonts w:ascii="Arial" w:hAnsi="Arial" w:cs="Arial"/>
          <w:i/>
          <w:iCs/>
        </w:rPr>
        <w:t>, United Arab Emirates [sic]</w:t>
      </w:r>
      <w:r w:rsidRPr="00312389">
        <w:rPr>
          <w:rFonts w:ascii="Arial" w:hAnsi="Arial" w:cs="Arial"/>
        </w:rPr>
        <w:t> (Doctoral dissertation, University of Salford).</w:t>
      </w:r>
    </w:p>
    <w:p w14:paraId="0108F8C4" w14:textId="77777777" w:rsidR="001C5EF1" w:rsidRPr="00312389" w:rsidRDefault="00DA4FB3" w:rsidP="00D40EBB">
      <w:pPr>
        <w:spacing w:line="480" w:lineRule="auto"/>
        <w:rPr>
          <w:rFonts w:ascii="Arial" w:hAnsi="Arial" w:cs="Arial"/>
        </w:rPr>
      </w:pPr>
      <w:proofErr w:type="spellStart"/>
      <w:r w:rsidRPr="00312389">
        <w:rPr>
          <w:rFonts w:ascii="Arial" w:hAnsi="Arial" w:cs="Arial"/>
        </w:rPr>
        <w:t>Alkhoraif</w:t>
      </w:r>
      <w:proofErr w:type="spellEnd"/>
      <w:r w:rsidRPr="00312389">
        <w:rPr>
          <w:rFonts w:ascii="Arial" w:hAnsi="Arial" w:cs="Arial"/>
        </w:rPr>
        <w:t xml:space="preserve">, A. (2018). </w:t>
      </w:r>
      <w:r w:rsidRPr="00BD3CFB">
        <w:rPr>
          <w:rFonts w:ascii="Arial" w:hAnsi="Arial" w:cs="Arial"/>
          <w:u w:val="single"/>
        </w:rPr>
        <w:t>Lean implementation in small and medium enterprises: Literature review</w:t>
      </w:r>
      <w:r w:rsidRPr="00312389">
        <w:rPr>
          <w:rFonts w:ascii="Arial" w:hAnsi="Arial" w:cs="Arial"/>
        </w:rPr>
        <w:t>. ​</w:t>
      </w:r>
      <w:r w:rsidRPr="00312389">
        <w:rPr>
          <w:rFonts w:ascii="Arial" w:hAnsi="Arial" w:cs="Arial"/>
          <w:i/>
        </w:rPr>
        <w:t>Operations Research Perspectives</w:t>
      </w:r>
      <w:r w:rsidRPr="00312389">
        <w:rPr>
          <w:rFonts w:ascii="Arial" w:hAnsi="Arial" w:cs="Arial"/>
        </w:rPr>
        <w:t>​, p.100089.</w:t>
      </w:r>
    </w:p>
    <w:p w14:paraId="039A551F" w14:textId="77777777" w:rsidR="001C5EF1" w:rsidRPr="00312389" w:rsidRDefault="001C5EF1" w:rsidP="00D40EBB">
      <w:pPr>
        <w:spacing w:line="480" w:lineRule="auto"/>
        <w:rPr>
          <w:rFonts w:ascii="Arial" w:hAnsi="Arial" w:cs="Arial"/>
        </w:rPr>
      </w:pPr>
      <w:proofErr w:type="spellStart"/>
      <w:r w:rsidRPr="00312389">
        <w:rPr>
          <w:rFonts w:ascii="Arial" w:hAnsi="Arial" w:cs="Arial"/>
        </w:rPr>
        <w:t>Alreemy</w:t>
      </w:r>
      <w:proofErr w:type="spellEnd"/>
      <w:r w:rsidRPr="00312389">
        <w:rPr>
          <w:rFonts w:ascii="Arial" w:hAnsi="Arial" w:cs="Arial"/>
        </w:rPr>
        <w:t xml:space="preserve">, Z., Chang, V., Walters, R. and Wills, G. (2016). </w:t>
      </w:r>
      <w:r w:rsidRPr="00BD3CFB">
        <w:rPr>
          <w:rFonts w:ascii="Arial" w:hAnsi="Arial" w:cs="Arial"/>
          <w:u w:val="single"/>
        </w:rPr>
        <w:t>Critical success factors (CSFs) for information technology governance (ITG).</w:t>
      </w:r>
      <w:r w:rsidRPr="00312389">
        <w:rPr>
          <w:rFonts w:ascii="Arial" w:hAnsi="Arial" w:cs="Arial"/>
        </w:rPr>
        <w:t> </w:t>
      </w:r>
      <w:r w:rsidRPr="00312389">
        <w:rPr>
          <w:rFonts w:ascii="Arial" w:hAnsi="Arial" w:cs="Arial"/>
          <w:i/>
          <w:iCs/>
        </w:rPr>
        <w:t>International Journal of Information Management</w:t>
      </w:r>
      <w:r w:rsidRPr="00312389">
        <w:rPr>
          <w:rFonts w:ascii="Arial" w:hAnsi="Arial" w:cs="Arial"/>
        </w:rPr>
        <w:t>, </w:t>
      </w:r>
      <w:r w:rsidRPr="00312389">
        <w:rPr>
          <w:rFonts w:ascii="Arial" w:hAnsi="Arial" w:cs="Arial"/>
          <w:i/>
          <w:iCs/>
        </w:rPr>
        <w:t>36</w:t>
      </w:r>
      <w:r w:rsidRPr="00312389">
        <w:rPr>
          <w:rFonts w:ascii="Arial" w:hAnsi="Arial" w:cs="Arial"/>
        </w:rPr>
        <w:t>(6), pp.907-916.</w:t>
      </w:r>
    </w:p>
    <w:p w14:paraId="48062696" w14:textId="4AB7ADFB" w:rsidR="001C5EF1" w:rsidRPr="00312389" w:rsidRDefault="001C5EF1" w:rsidP="00D40EBB">
      <w:pPr>
        <w:spacing w:line="480" w:lineRule="auto"/>
        <w:rPr>
          <w:rFonts w:ascii="Arial" w:hAnsi="Arial" w:cs="Arial"/>
        </w:rPr>
      </w:pPr>
      <w:proofErr w:type="spellStart"/>
      <w:r w:rsidRPr="00312389">
        <w:rPr>
          <w:rFonts w:ascii="Arial" w:hAnsi="Arial" w:cs="Arial"/>
        </w:rPr>
        <w:t>Asgarkhani</w:t>
      </w:r>
      <w:proofErr w:type="spellEnd"/>
      <w:r w:rsidRPr="00312389">
        <w:rPr>
          <w:rFonts w:ascii="Arial" w:hAnsi="Arial" w:cs="Arial"/>
        </w:rPr>
        <w:t xml:space="preserve">, M., Cater-Steel, A., </w:t>
      </w:r>
      <w:proofErr w:type="spellStart"/>
      <w:r w:rsidRPr="00312389">
        <w:rPr>
          <w:rFonts w:ascii="Arial" w:hAnsi="Arial" w:cs="Arial"/>
        </w:rPr>
        <w:t>Toleman</w:t>
      </w:r>
      <w:proofErr w:type="spellEnd"/>
      <w:r w:rsidRPr="00312389">
        <w:rPr>
          <w:rFonts w:ascii="Arial" w:hAnsi="Arial" w:cs="Arial"/>
        </w:rPr>
        <w:t xml:space="preserve">, M. and Ally, M. (2018), May. </w:t>
      </w:r>
      <w:r w:rsidRPr="00BD3CFB">
        <w:rPr>
          <w:rFonts w:ascii="Arial" w:hAnsi="Arial" w:cs="Arial"/>
          <w:u w:val="single"/>
        </w:rPr>
        <w:t>A Conceptual Model to Evaluate the Effectiveness of Information Technology Governance. In ICMLG 2018 6th International Conference on Management Leadership and Governance</w:t>
      </w:r>
      <w:r w:rsidRPr="00312389">
        <w:rPr>
          <w:rFonts w:ascii="Arial" w:hAnsi="Arial" w:cs="Arial"/>
        </w:rPr>
        <w:t xml:space="preserve"> (p. 41). Academic Conferences and publishing limited.</w:t>
      </w:r>
    </w:p>
    <w:p w14:paraId="0060AEA4" w14:textId="77777777" w:rsidR="00DA4FB3" w:rsidRPr="00312389" w:rsidRDefault="00DA4FB3" w:rsidP="00D40EBB">
      <w:pPr>
        <w:spacing w:line="480" w:lineRule="auto"/>
        <w:rPr>
          <w:rFonts w:ascii="Arial" w:hAnsi="Arial" w:cs="Arial"/>
        </w:rPr>
      </w:pPr>
      <w:proofErr w:type="spellStart"/>
      <w:r w:rsidRPr="00312389">
        <w:rPr>
          <w:rFonts w:ascii="Arial" w:hAnsi="Arial" w:cs="Arial"/>
        </w:rPr>
        <w:t>Azmi</w:t>
      </w:r>
      <w:proofErr w:type="spellEnd"/>
      <w:r w:rsidRPr="00312389">
        <w:rPr>
          <w:rFonts w:ascii="Arial" w:hAnsi="Arial" w:cs="Arial"/>
        </w:rPr>
        <w:t xml:space="preserve">, R., </w:t>
      </w:r>
      <w:proofErr w:type="spellStart"/>
      <w:r w:rsidRPr="00312389">
        <w:rPr>
          <w:rFonts w:ascii="Arial" w:hAnsi="Arial" w:cs="Arial"/>
        </w:rPr>
        <w:t>Tibben</w:t>
      </w:r>
      <w:proofErr w:type="spellEnd"/>
      <w:r w:rsidRPr="00312389">
        <w:rPr>
          <w:rFonts w:ascii="Arial" w:hAnsi="Arial" w:cs="Arial"/>
        </w:rPr>
        <w:t xml:space="preserve">, W. and Win, K.T. (2018). </w:t>
      </w:r>
      <w:r w:rsidRPr="00BD3CFB">
        <w:rPr>
          <w:rFonts w:ascii="Arial" w:hAnsi="Arial" w:cs="Arial"/>
          <w:u w:val="single"/>
        </w:rPr>
        <w:t>Review of cybersecurity frameworks: context and shared concepts</w:t>
      </w:r>
      <w:r w:rsidRPr="00312389">
        <w:rPr>
          <w:rFonts w:ascii="Arial" w:hAnsi="Arial" w:cs="Arial"/>
        </w:rPr>
        <w:t xml:space="preserve">. </w:t>
      </w:r>
      <w:r w:rsidRPr="00312389">
        <w:rPr>
          <w:rFonts w:ascii="Arial" w:hAnsi="Arial" w:cs="Arial"/>
          <w:i/>
        </w:rPr>
        <w:t>Journal of Cyber Policy</w:t>
      </w:r>
      <w:r w:rsidRPr="00312389">
        <w:rPr>
          <w:rFonts w:ascii="Arial" w:hAnsi="Arial" w:cs="Arial"/>
        </w:rPr>
        <w:t>​, ​</w:t>
      </w:r>
      <w:r w:rsidRPr="00312389">
        <w:rPr>
          <w:rFonts w:ascii="Arial" w:hAnsi="Arial" w:cs="Arial"/>
          <w:i/>
        </w:rPr>
        <w:t>3</w:t>
      </w:r>
      <w:r w:rsidRPr="00312389">
        <w:rPr>
          <w:rFonts w:ascii="Arial" w:hAnsi="Arial" w:cs="Arial"/>
        </w:rPr>
        <w:t xml:space="preserve">​(2), pp.258-283. </w:t>
      </w:r>
    </w:p>
    <w:p w14:paraId="223C6A0B" w14:textId="2A850DFD" w:rsidR="00642D5B" w:rsidRPr="00312389" w:rsidRDefault="00642D5B" w:rsidP="00D40EBB">
      <w:pPr>
        <w:spacing w:line="480" w:lineRule="auto"/>
        <w:rPr>
          <w:rFonts w:ascii="Arial" w:hAnsi="Arial" w:cs="Arial"/>
          <w:lang w:val="en-US"/>
        </w:rPr>
      </w:pPr>
      <w:proofErr w:type="spellStart"/>
      <w:r w:rsidRPr="00312389">
        <w:rPr>
          <w:rFonts w:ascii="Arial" w:hAnsi="Arial" w:cs="Arial"/>
          <w:lang w:val="en-US"/>
        </w:rPr>
        <w:t>Babbie</w:t>
      </w:r>
      <w:proofErr w:type="spellEnd"/>
      <w:r w:rsidRPr="00312389">
        <w:rPr>
          <w:rFonts w:ascii="Arial" w:hAnsi="Arial" w:cs="Arial"/>
          <w:lang w:val="en-US"/>
        </w:rPr>
        <w:t xml:space="preserve">, E. </w:t>
      </w:r>
      <w:r w:rsidR="00EB22A7" w:rsidRPr="00312389">
        <w:rPr>
          <w:rFonts w:ascii="Arial" w:hAnsi="Arial" w:cs="Arial"/>
          <w:lang w:val="en-US"/>
        </w:rPr>
        <w:t>(</w:t>
      </w:r>
      <w:r w:rsidRPr="00312389">
        <w:rPr>
          <w:rFonts w:ascii="Arial" w:hAnsi="Arial" w:cs="Arial"/>
          <w:lang w:val="en-US"/>
        </w:rPr>
        <w:t>2017</w:t>
      </w:r>
      <w:r w:rsidR="00EB22A7" w:rsidRPr="00312389">
        <w:rPr>
          <w:rFonts w:ascii="Arial" w:hAnsi="Arial" w:cs="Arial"/>
          <w:lang w:val="en-US"/>
        </w:rPr>
        <w:t>)</w:t>
      </w:r>
      <w:r w:rsidRPr="00312389">
        <w:rPr>
          <w:rFonts w:ascii="Arial" w:hAnsi="Arial" w:cs="Arial"/>
          <w:lang w:val="en-US"/>
        </w:rPr>
        <w:t xml:space="preserve">. </w:t>
      </w:r>
      <w:r w:rsidRPr="00AB5CF5">
        <w:rPr>
          <w:rFonts w:ascii="Arial" w:hAnsi="Arial" w:cs="Arial"/>
          <w:i/>
          <w:u w:val="single"/>
          <w:lang w:val="en-US"/>
        </w:rPr>
        <w:t>Basics of social research</w:t>
      </w:r>
      <w:r w:rsidRPr="00AB5CF5">
        <w:rPr>
          <w:rFonts w:ascii="Arial" w:hAnsi="Arial" w:cs="Arial"/>
          <w:u w:val="single"/>
          <w:lang w:val="en-US"/>
        </w:rPr>
        <w:t xml:space="preserve"> (7th ed.).</w:t>
      </w:r>
      <w:r w:rsidRPr="00312389">
        <w:rPr>
          <w:rFonts w:ascii="Arial" w:hAnsi="Arial" w:cs="Arial"/>
          <w:lang w:val="en-US"/>
        </w:rPr>
        <w:t xml:space="preserve"> </w:t>
      </w:r>
      <w:r w:rsidR="009A76ED">
        <w:rPr>
          <w:rFonts w:ascii="Arial" w:hAnsi="Arial" w:cs="Arial"/>
          <w:lang w:val="en-US"/>
        </w:rPr>
        <w:t xml:space="preserve">Boston: </w:t>
      </w:r>
      <w:r w:rsidRPr="00312389">
        <w:rPr>
          <w:rFonts w:ascii="Arial" w:hAnsi="Arial" w:cs="Arial"/>
          <w:lang w:val="en-US"/>
        </w:rPr>
        <w:t>Cengage Learning.</w:t>
      </w:r>
    </w:p>
    <w:p w14:paraId="15CA4E78" w14:textId="77777777" w:rsidR="00DA4FB3" w:rsidRPr="00312389" w:rsidRDefault="00DA4FB3" w:rsidP="00D40EBB">
      <w:pPr>
        <w:spacing w:line="480" w:lineRule="auto"/>
        <w:rPr>
          <w:rFonts w:ascii="Arial" w:hAnsi="Arial" w:cs="Arial"/>
        </w:rPr>
      </w:pPr>
      <w:proofErr w:type="spellStart"/>
      <w:r w:rsidRPr="00312389">
        <w:rPr>
          <w:rFonts w:ascii="Arial" w:hAnsi="Arial" w:cs="Arial"/>
        </w:rPr>
        <w:t>Badr</w:t>
      </w:r>
      <w:proofErr w:type="spellEnd"/>
      <w:r w:rsidRPr="00312389">
        <w:rPr>
          <w:rFonts w:ascii="Arial" w:hAnsi="Arial" w:cs="Arial"/>
        </w:rPr>
        <w:t xml:space="preserve">, Y., </w:t>
      </w:r>
      <w:proofErr w:type="spellStart"/>
      <w:r w:rsidRPr="00312389">
        <w:rPr>
          <w:rFonts w:ascii="Arial" w:hAnsi="Arial" w:cs="Arial"/>
        </w:rPr>
        <w:t>Biennier</w:t>
      </w:r>
      <w:proofErr w:type="spellEnd"/>
      <w:r w:rsidRPr="00312389">
        <w:rPr>
          <w:rFonts w:ascii="Arial" w:hAnsi="Arial" w:cs="Arial"/>
        </w:rPr>
        <w:t xml:space="preserve">, F. and Tata, S. (2010). </w:t>
      </w:r>
      <w:r w:rsidRPr="00AB5CF5">
        <w:rPr>
          <w:rFonts w:ascii="Arial" w:hAnsi="Arial" w:cs="Arial"/>
          <w:u w:val="single"/>
        </w:rPr>
        <w:t>The integration of corporate security strategies in collaborative business processes</w:t>
      </w:r>
      <w:r w:rsidRPr="00312389">
        <w:rPr>
          <w:rFonts w:ascii="Arial" w:hAnsi="Arial" w:cs="Arial"/>
        </w:rPr>
        <w:t xml:space="preserve">. </w:t>
      </w:r>
      <w:r w:rsidRPr="00312389">
        <w:rPr>
          <w:rFonts w:ascii="Arial" w:hAnsi="Arial" w:cs="Arial"/>
          <w:i/>
        </w:rPr>
        <w:t>IEEE transactions on services computing</w:t>
      </w:r>
      <w:r w:rsidRPr="00312389">
        <w:rPr>
          <w:rFonts w:ascii="Arial" w:hAnsi="Arial" w:cs="Arial"/>
        </w:rPr>
        <w:t>​​, ​</w:t>
      </w:r>
      <w:r w:rsidRPr="00312389">
        <w:rPr>
          <w:rFonts w:ascii="Arial" w:hAnsi="Arial" w:cs="Arial"/>
          <w:i/>
        </w:rPr>
        <w:t>4</w:t>
      </w:r>
      <w:r w:rsidRPr="00312389">
        <w:rPr>
          <w:rFonts w:ascii="Arial" w:hAnsi="Arial" w:cs="Arial"/>
        </w:rPr>
        <w:t xml:space="preserve">​(3), pp.243-254. </w:t>
      </w:r>
    </w:p>
    <w:p w14:paraId="02BCF686" w14:textId="2ED5B089" w:rsidR="00642D5B" w:rsidRPr="00312389" w:rsidRDefault="00642D5B" w:rsidP="00D40EBB">
      <w:pPr>
        <w:spacing w:line="480" w:lineRule="auto"/>
        <w:rPr>
          <w:rFonts w:ascii="Arial" w:hAnsi="Arial" w:cs="Arial"/>
        </w:rPr>
      </w:pPr>
      <w:proofErr w:type="spellStart"/>
      <w:r w:rsidRPr="00312389">
        <w:rPr>
          <w:rFonts w:ascii="Arial" w:hAnsi="Arial" w:cs="Arial"/>
        </w:rPr>
        <w:lastRenderedPageBreak/>
        <w:t>Banham</w:t>
      </w:r>
      <w:proofErr w:type="spellEnd"/>
      <w:r w:rsidRPr="00312389">
        <w:rPr>
          <w:rFonts w:ascii="Arial" w:hAnsi="Arial" w:cs="Arial"/>
        </w:rPr>
        <w:t>, H. and He, Y.</w:t>
      </w:r>
      <w:r w:rsidR="00EB22A7" w:rsidRPr="00312389">
        <w:rPr>
          <w:rFonts w:ascii="Arial" w:hAnsi="Arial" w:cs="Arial"/>
        </w:rPr>
        <w:t xml:space="preserve"> (</w:t>
      </w:r>
      <w:r w:rsidRPr="00312389">
        <w:rPr>
          <w:rFonts w:ascii="Arial" w:hAnsi="Arial" w:cs="Arial"/>
        </w:rPr>
        <w:t>2010</w:t>
      </w:r>
      <w:r w:rsidR="00EB22A7" w:rsidRPr="00312389">
        <w:rPr>
          <w:rFonts w:ascii="Arial" w:hAnsi="Arial" w:cs="Arial"/>
        </w:rPr>
        <w:t>)</w:t>
      </w:r>
      <w:r w:rsidRPr="00312389">
        <w:rPr>
          <w:rFonts w:ascii="Arial" w:hAnsi="Arial" w:cs="Arial"/>
        </w:rPr>
        <w:t xml:space="preserve">. </w:t>
      </w:r>
      <w:r w:rsidRPr="00AB5CF5">
        <w:rPr>
          <w:rFonts w:ascii="Arial" w:hAnsi="Arial" w:cs="Arial"/>
          <w:u w:val="single"/>
        </w:rPr>
        <w:t>SME governance: converging definitions and expanding expectations</w:t>
      </w:r>
      <w:r w:rsidRPr="00312389">
        <w:rPr>
          <w:rFonts w:ascii="Arial" w:hAnsi="Arial" w:cs="Arial"/>
        </w:rPr>
        <w:t>. </w:t>
      </w:r>
      <w:r w:rsidRPr="00312389">
        <w:rPr>
          <w:rFonts w:ascii="Arial" w:hAnsi="Arial" w:cs="Arial"/>
          <w:i/>
          <w:iCs/>
        </w:rPr>
        <w:t>International Business &amp; Economics Research Journal</w:t>
      </w:r>
      <w:r w:rsidRPr="00312389">
        <w:rPr>
          <w:rFonts w:ascii="Arial" w:hAnsi="Arial" w:cs="Arial"/>
        </w:rPr>
        <w:t>, </w:t>
      </w:r>
      <w:r w:rsidRPr="00312389">
        <w:rPr>
          <w:rFonts w:ascii="Arial" w:hAnsi="Arial" w:cs="Arial"/>
          <w:i/>
          <w:iCs/>
        </w:rPr>
        <w:t>9</w:t>
      </w:r>
      <w:r w:rsidRPr="00312389">
        <w:rPr>
          <w:rFonts w:ascii="Arial" w:hAnsi="Arial" w:cs="Arial"/>
        </w:rPr>
        <w:t>(2), pp.77-82.</w:t>
      </w:r>
    </w:p>
    <w:p w14:paraId="7D3D3D9C" w14:textId="77777777" w:rsidR="001C5EF1" w:rsidRPr="00312389" w:rsidRDefault="00642D5B" w:rsidP="00D40EBB">
      <w:pPr>
        <w:spacing w:line="480" w:lineRule="auto"/>
        <w:rPr>
          <w:rFonts w:ascii="Arial" w:hAnsi="Arial" w:cs="Arial"/>
        </w:rPr>
      </w:pPr>
      <w:r w:rsidRPr="00312389">
        <w:rPr>
          <w:rFonts w:ascii="Arial" w:hAnsi="Arial" w:cs="Arial"/>
        </w:rPr>
        <w:t xml:space="preserve">Bartlett, B. </w:t>
      </w:r>
      <w:r w:rsidR="00EB22A7" w:rsidRPr="00312389">
        <w:rPr>
          <w:rFonts w:ascii="Arial" w:hAnsi="Arial" w:cs="Arial"/>
        </w:rPr>
        <w:t>(</w:t>
      </w:r>
      <w:r w:rsidRPr="00312389">
        <w:rPr>
          <w:rFonts w:ascii="Arial" w:hAnsi="Arial" w:cs="Arial"/>
        </w:rPr>
        <w:t>2018</w:t>
      </w:r>
      <w:r w:rsidR="00EB22A7" w:rsidRPr="00312389">
        <w:rPr>
          <w:rFonts w:ascii="Arial" w:hAnsi="Arial" w:cs="Arial"/>
        </w:rPr>
        <w:t>)</w:t>
      </w:r>
      <w:r w:rsidRPr="00312389">
        <w:rPr>
          <w:rFonts w:ascii="Arial" w:hAnsi="Arial" w:cs="Arial"/>
        </w:rPr>
        <w:t xml:space="preserve">. </w:t>
      </w:r>
      <w:r w:rsidRPr="00AB5CF5">
        <w:rPr>
          <w:rFonts w:ascii="Arial" w:hAnsi="Arial" w:cs="Arial"/>
          <w:u w:val="single"/>
        </w:rPr>
        <w:t>Government as facilitator: how Japan is building its cybersecurity market</w:t>
      </w:r>
      <w:r w:rsidRPr="00312389">
        <w:rPr>
          <w:rFonts w:ascii="Arial" w:hAnsi="Arial" w:cs="Arial"/>
        </w:rPr>
        <w:t>. </w:t>
      </w:r>
      <w:r w:rsidRPr="00312389">
        <w:rPr>
          <w:rFonts w:ascii="Arial" w:hAnsi="Arial" w:cs="Arial"/>
          <w:i/>
          <w:iCs/>
        </w:rPr>
        <w:t>Journal of Cyber Policy</w:t>
      </w:r>
      <w:r w:rsidRPr="00312389">
        <w:rPr>
          <w:rFonts w:ascii="Arial" w:hAnsi="Arial" w:cs="Arial"/>
        </w:rPr>
        <w:t>, </w:t>
      </w:r>
      <w:r w:rsidRPr="00312389">
        <w:rPr>
          <w:rFonts w:ascii="Arial" w:hAnsi="Arial" w:cs="Arial"/>
          <w:i/>
          <w:iCs/>
        </w:rPr>
        <w:t>3</w:t>
      </w:r>
      <w:r w:rsidRPr="00312389">
        <w:rPr>
          <w:rFonts w:ascii="Arial" w:hAnsi="Arial" w:cs="Arial"/>
        </w:rPr>
        <w:t>(3), pp.327-343.</w:t>
      </w:r>
    </w:p>
    <w:p w14:paraId="61CAA05A" w14:textId="77777777" w:rsidR="001C5EF1" w:rsidRPr="00312389" w:rsidRDefault="001C5EF1" w:rsidP="00D40EBB">
      <w:pPr>
        <w:spacing w:line="480" w:lineRule="auto"/>
        <w:rPr>
          <w:rFonts w:ascii="Arial" w:hAnsi="Arial" w:cs="Arial"/>
        </w:rPr>
      </w:pPr>
      <w:r w:rsidRPr="00312389">
        <w:rPr>
          <w:rFonts w:ascii="Arial" w:hAnsi="Arial" w:cs="Arial"/>
        </w:rPr>
        <w:t xml:space="preserve">Bell, J. (2005). </w:t>
      </w:r>
      <w:r w:rsidRPr="00AB5CF5">
        <w:rPr>
          <w:rFonts w:ascii="Arial" w:hAnsi="Arial" w:cs="Arial"/>
          <w:u w:val="single"/>
        </w:rPr>
        <w:t>Doing your research project: A guide for first-time researchers in education</w:t>
      </w:r>
      <w:r w:rsidRPr="00312389">
        <w:rPr>
          <w:rFonts w:ascii="Arial" w:hAnsi="Arial" w:cs="Arial"/>
        </w:rPr>
        <w:t>. </w:t>
      </w:r>
      <w:r w:rsidRPr="00312389">
        <w:rPr>
          <w:rFonts w:ascii="Arial" w:hAnsi="Arial" w:cs="Arial"/>
          <w:i/>
          <w:iCs/>
        </w:rPr>
        <w:t>Health and Social Science</w:t>
      </w:r>
      <w:r w:rsidRPr="00312389">
        <w:rPr>
          <w:rFonts w:ascii="Arial" w:hAnsi="Arial" w:cs="Arial"/>
        </w:rPr>
        <w:t>, </w:t>
      </w:r>
      <w:r w:rsidRPr="00312389">
        <w:rPr>
          <w:rFonts w:ascii="Arial" w:hAnsi="Arial" w:cs="Arial"/>
          <w:i/>
          <w:iCs/>
        </w:rPr>
        <w:t>4</w:t>
      </w:r>
      <w:r w:rsidRPr="00312389">
        <w:rPr>
          <w:rFonts w:ascii="Arial" w:hAnsi="Arial" w:cs="Arial"/>
        </w:rPr>
        <w:t>.</w:t>
      </w:r>
    </w:p>
    <w:p w14:paraId="55E486FD" w14:textId="1752E291" w:rsidR="001C5EF1" w:rsidRPr="00312389" w:rsidRDefault="001C5EF1" w:rsidP="00D40EBB">
      <w:pPr>
        <w:spacing w:line="480" w:lineRule="auto"/>
        <w:rPr>
          <w:rFonts w:ascii="Arial" w:hAnsi="Arial" w:cs="Arial"/>
        </w:rPr>
      </w:pPr>
      <w:proofErr w:type="spellStart"/>
      <w:r w:rsidRPr="00312389">
        <w:rPr>
          <w:rFonts w:ascii="Arial" w:hAnsi="Arial" w:cs="Arial"/>
        </w:rPr>
        <w:t>Benbasat</w:t>
      </w:r>
      <w:proofErr w:type="spellEnd"/>
      <w:r w:rsidRPr="00312389">
        <w:rPr>
          <w:rFonts w:ascii="Arial" w:hAnsi="Arial" w:cs="Arial"/>
        </w:rPr>
        <w:t xml:space="preserve">, I. and </w:t>
      </w:r>
      <w:proofErr w:type="spellStart"/>
      <w:r w:rsidRPr="00312389">
        <w:rPr>
          <w:rFonts w:ascii="Arial" w:hAnsi="Arial" w:cs="Arial"/>
        </w:rPr>
        <w:t>Zmud</w:t>
      </w:r>
      <w:proofErr w:type="spellEnd"/>
      <w:r w:rsidRPr="00312389">
        <w:rPr>
          <w:rFonts w:ascii="Arial" w:hAnsi="Arial" w:cs="Arial"/>
        </w:rPr>
        <w:t xml:space="preserve">, R.W. (1999). </w:t>
      </w:r>
      <w:r w:rsidRPr="00AB5CF5">
        <w:rPr>
          <w:rFonts w:ascii="Arial" w:hAnsi="Arial" w:cs="Arial"/>
          <w:u w:val="single"/>
        </w:rPr>
        <w:t>Empirical research in information systems: The practice or relevance</w:t>
      </w:r>
      <w:r w:rsidRPr="00312389">
        <w:rPr>
          <w:rFonts w:ascii="Arial" w:hAnsi="Arial" w:cs="Arial"/>
        </w:rPr>
        <w:t>. MIS quarterly, 23(1), pp.3-16</w:t>
      </w:r>
    </w:p>
    <w:p w14:paraId="101A62F2" w14:textId="40183277" w:rsidR="00DA4FB3" w:rsidRPr="00312389" w:rsidRDefault="00DA4FB3" w:rsidP="00D40EBB">
      <w:pPr>
        <w:spacing w:line="480" w:lineRule="auto"/>
        <w:rPr>
          <w:rFonts w:ascii="Arial" w:hAnsi="Arial" w:cs="Arial"/>
        </w:rPr>
      </w:pPr>
      <w:r w:rsidRPr="00312389">
        <w:rPr>
          <w:rFonts w:ascii="Arial" w:hAnsi="Arial" w:cs="Arial"/>
        </w:rPr>
        <w:t xml:space="preserve">Bergeron, F., </w:t>
      </w:r>
      <w:proofErr w:type="spellStart"/>
      <w:r w:rsidRPr="00312389">
        <w:rPr>
          <w:rFonts w:ascii="Arial" w:hAnsi="Arial" w:cs="Arial"/>
        </w:rPr>
        <w:t>Croteau</w:t>
      </w:r>
      <w:proofErr w:type="spellEnd"/>
      <w:r w:rsidRPr="00312389">
        <w:rPr>
          <w:rFonts w:ascii="Arial" w:hAnsi="Arial" w:cs="Arial"/>
        </w:rPr>
        <w:t xml:space="preserve">, A.M., </w:t>
      </w:r>
      <w:proofErr w:type="spellStart"/>
      <w:r w:rsidRPr="00312389">
        <w:rPr>
          <w:rFonts w:ascii="Arial" w:hAnsi="Arial" w:cs="Arial"/>
        </w:rPr>
        <w:t>Uwizeyemungu</w:t>
      </w:r>
      <w:proofErr w:type="spellEnd"/>
      <w:r w:rsidRPr="00312389">
        <w:rPr>
          <w:rFonts w:ascii="Arial" w:hAnsi="Arial" w:cs="Arial"/>
        </w:rPr>
        <w:t xml:space="preserve">, S. and Raymond, L. (2017). </w:t>
      </w:r>
      <w:r w:rsidRPr="005102A5">
        <w:rPr>
          <w:rFonts w:ascii="Arial" w:hAnsi="Arial" w:cs="Arial"/>
          <w:u w:val="single"/>
        </w:rPr>
        <w:t>A framework for research on information technology governance in SMEs</w:t>
      </w:r>
      <w:r w:rsidRPr="00312389">
        <w:rPr>
          <w:rFonts w:ascii="Arial" w:hAnsi="Arial" w:cs="Arial"/>
        </w:rPr>
        <w:t>. In ​</w:t>
      </w:r>
      <w:r w:rsidRPr="00312389">
        <w:rPr>
          <w:rFonts w:ascii="Arial" w:hAnsi="Arial" w:cs="Arial"/>
          <w:i/>
        </w:rPr>
        <w:t>Strategic IT Governance and alignment in business settings</w:t>
      </w:r>
      <w:r w:rsidRPr="00312389">
        <w:rPr>
          <w:rFonts w:ascii="Arial" w:hAnsi="Arial" w:cs="Arial"/>
        </w:rPr>
        <w:t xml:space="preserve">​ (pp. 53-81). </w:t>
      </w:r>
      <w:r w:rsidR="005102A5">
        <w:rPr>
          <w:rFonts w:ascii="Arial" w:hAnsi="Arial" w:cs="Arial"/>
        </w:rPr>
        <w:t>P</w:t>
      </w:r>
      <w:r w:rsidR="00F31E2C">
        <w:rPr>
          <w:rFonts w:ascii="Arial" w:hAnsi="Arial" w:cs="Arial"/>
        </w:rPr>
        <w:t xml:space="preserve">ennsylvania: </w:t>
      </w:r>
      <w:r w:rsidRPr="00312389">
        <w:rPr>
          <w:rFonts w:ascii="Arial" w:hAnsi="Arial" w:cs="Arial"/>
        </w:rPr>
        <w:t>IGI Global.</w:t>
      </w:r>
    </w:p>
    <w:p w14:paraId="07B7866A" w14:textId="66D88FC4" w:rsidR="00642D5B" w:rsidRPr="00312389" w:rsidRDefault="00642D5B" w:rsidP="00D40EBB">
      <w:pPr>
        <w:spacing w:line="480" w:lineRule="auto"/>
        <w:rPr>
          <w:rFonts w:ascii="Arial" w:hAnsi="Arial" w:cs="Arial"/>
        </w:rPr>
      </w:pPr>
      <w:r w:rsidRPr="00312389">
        <w:rPr>
          <w:rFonts w:ascii="Arial" w:hAnsi="Arial" w:cs="Arial"/>
        </w:rPr>
        <w:t xml:space="preserve">Bergeron, F., </w:t>
      </w:r>
      <w:proofErr w:type="spellStart"/>
      <w:r w:rsidRPr="00312389">
        <w:rPr>
          <w:rFonts w:ascii="Arial" w:hAnsi="Arial" w:cs="Arial"/>
        </w:rPr>
        <w:t>Croteau</w:t>
      </w:r>
      <w:proofErr w:type="spellEnd"/>
      <w:r w:rsidRPr="00312389">
        <w:rPr>
          <w:rFonts w:ascii="Arial" w:hAnsi="Arial" w:cs="Arial"/>
        </w:rPr>
        <w:t xml:space="preserve">, A.M., </w:t>
      </w:r>
      <w:proofErr w:type="spellStart"/>
      <w:r w:rsidRPr="00312389">
        <w:rPr>
          <w:rFonts w:ascii="Arial" w:hAnsi="Arial" w:cs="Arial"/>
        </w:rPr>
        <w:t>Uwizeyemungu</w:t>
      </w:r>
      <w:proofErr w:type="spellEnd"/>
      <w:r w:rsidRPr="00312389">
        <w:rPr>
          <w:rFonts w:ascii="Arial" w:hAnsi="Arial" w:cs="Arial"/>
        </w:rPr>
        <w:t>, S. and Raymond, L.</w:t>
      </w:r>
      <w:r w:rsidR="00EB22A7" w:rsidRPr="00312389">
        <w:rPr>
          <w:rFonts w:ascii="Arial" w:hAnsi="Arial" w:cs="Arial"/>
        </w:rPr>
        <w:t xml:space="preserve"> (</w:t>
      </w:r>
      <w:r w:rsidRPr="00312389">
        <w:rPr>
          <w:rFonts w:ascii="Arial" w:hAnsi="Arial" w:cs="Arial"/>
        </w:rPr>
        <w:t>2015</w:t>
      </w:r>
      <w:r w:rsidR="00EB22A7" w:rsidRPr="00312389">
        <w:rPr>
          <w:rFonts w:ascii="Arial" w:hAnsi="Arial" w:cs="Arial"/>
        </w:rPr>
        <w:t>)</w:t>
      </w:r>
      <w:r w:rsidRPr="00312389">
        <w:rPr>
          <w:rFonts w:ascii="Arial" w:hAnsi="Arial" w:cs="Arial"/>
        </w:rPr>
        <w:t xml:space="preserve">, January. </w:t>
      </w:r>
      <w:r w:rsidRPr="0079243F">
        <w:rPr>
          <w:rFonts w:ascii="Arial" w:hAnsi="Arial" w:cs="Arial"/>
          <w:u w:val="single"/>
        </w:rPr>
        <w:t>IT governance theories and the reality of SMEs: Bridging the gap.</w:t>
      </w:r>
      <w:r w:rsidRPr="00312389">
        <w:rPr>
          <w:rFonts w:ascii="Arial" w:hAnsi="Arial" w:cs="Arial"/>
        </w:rPr>
        <w:t xml:space="preserve"> In </w:t>
      </w:r>
      <w:r w:rsidRPr="00312389">
        <w:rPr>
          <w:rFonts w:ascii="Arial" w:hAnsi="Arial" w:cs="Arial"/>
          <w:i/>
          <w:iCs/>
        </w:rPr>
        <w:t>2015 48th Hawaii International Conference on System Sciences</w:t>
      </w:r>
      <w:r w:rsidRPr="00312389">
        <w:rPr>
          <w:rFonts w:ascii="Arial" w:hAnsi="Arial" w:cs="Arial"/>
        </w:rPr>
        <w:t> (pp. 4544-4553). IEEE.</w:t>
      </w:r>
    </w:p>
    <w:p w14:paraId="00C66465" w14:textId="77777777" w:rsidR="001C5EF1" w:rsidRPr="00312389" w:rsidRDefault="001C5EF1" w:rsidP="00D40EBB">
      <w:pPr>
        <w:spacing w:line="480" w:lineRule="auto"/>
        <w:rPr>
          <w:rFonts w:ascii="Arial" w:hAnsi="Arial" w:cs="Arial"/>
        </w:rPr>
      </w:pPr>
      <w:proofErr w:type="spellStart"/>
      <w:r w:rsidRPr="00312389">
        <w:rPr>
          <w:rFonts w:ascii="Arial" w:hAnsi="Arial" w:cs="Arial"/>
        </w:rPr>
        <w:t>Bernauer</w:t>
      </w:r>
      <w:proofErr w:type="spellEnd"/>
      <w:r w:rsidRPr="00312389">
        <w:rPr>
          <w:rFonts w:ascii="Arial" w:hAnsi="Arial" w:cs="Arial"/>
        </w:rPr>
        <w:t xml:space="preserve">, J.A. (2015). </w:t>
      </w:r>
      <w:r w:rsidRPr="0079243F">
        <w:rPr>
          <w:rFonts w:ascii="Arial" w:hAnsi="Arial" w:cs="Arial"/>
          <w:u w:val="single"/>
        </w:rPr>
        <w:t>Opening the ears that science closed: Transforming qualitative data using oral coding</w:t>
      </w:r>
      <w:r w:rsidRPr="00312389">
        <w:rPr>
          <w:rFonts w:ascii="Arial" w:hAnsi="Arial" w:cs="Arial"/>
        </w:rPr>
        <w:t>. </w:t>
      </w:r>
      <w:r w:rsidRPr="00312389">
        <w:rPr>
          <w:rFonts w:ascii="Arial" w:hAnsi="Arial" w:cs="Arial"/>
          <w:i/>
          <w:iCs/>
        </w:rPr>
        <w:t>The Qualitative Report</w:t>
      </w:r>
      <w:r w:rsidRPr="00312389">
        <w:rPr>
          <w:rFonts w:ascii="Arial" w:hAnsi="Arial" w:cs="Arial"/>
        </w:rPr>
        <w:t>, </w:t>
      </w:r>
      <w:r w:rsidRPr="00312389">
        <w:rPr>
          <w:rFonts w:ascii="Arial" w:hAnsi="Arial" w:cs="Arial"/>
          <w:i/>
          <w:iCs/>
        </w:rPr>
        <w:t>20</w:t>
      </w:r>
      <w:r w:rsidRPr="00312389">
        <w:rPr>
          <w:rFonts w:ascii="Arial" w:hAnsi="Arial" w:cs="Arial"/>
        </w:rPr>
        <w:t>(4), pp.406-415.</w:t>
      </w:r>
    </w:p>
    <w:p w14:paraId="3DB68A28" w14:textId="462F4296" w:rsidR="0002305E" w:rsidRPr="00312389" w:rsidRDefault="0002305E" w:rsidP="00D40EBB">
      <w:pPr>
        <w:spacing w:line="480" w:lineRule="auto"/>
        <w:rPr>
          <w:rFonts w:ascii="Arial" w:hAnsi="Arial" w:cs="Arial"/>
        </w:rPr>
      </w:pPr>
      <w:proofErr w:type="spellStart"/>
      <w:r w:rsidRPr="00312389">
        <w:rPr>
          <w:rFonts w:ascii="Arial" w:hAnsi="Arial" w:cs="Arial"/>
        </w:rPr>
        <w:t>Bernik</w:t>
      </w:r>
      <w:proofErr w:type="spellEnd"/>
      <w:r w:rsidRPr="00312389">
        <w:rPr>
          <w:rFonts w:ascii="Arial" w:hAnsi="Arial" w:cs="Arial"/>
        </w:rPr>
        <w:t xml:space="preserve">, I. (2014). </w:t>
      </w:r>
      <w:r w:rsidRPr="0079243F">
        <w:rPr>
          <w:rFonts w:ascii="Arial" w:hAnsi="Arial" w:cs="Arial"/>
          <w:u w:val="single"/>
        </w:rPr>
        <w:t>Cybercrime: The Cost of Investments into Protection</w:t>
      </w:r>
      <w:r w:rsidRPr="00312389">
        <w:rPr>
          <w:rFonts w:ascii="Arial" w:hAnsi="Arial" w:cs="Arial"/>
        </w:rPr>
        <w:t xml:space="preserve">. </w:t>
      </w:r>
      <w:proofErr w:type="spellStart"/>
      <w:r w:rsidRPr="00312389">
        <w:rPr>
          <w:rFonts w:ascii="Arial" w:hAnsi="Arial" w:cs="Arial"/>
          <w:i/>
        </w:rPr>
        <w:t>Varstvoslovje</w:t>
      </w:r>
      <w:proofErr w:type="spellEnd"/>
      <w:r w:rsidRPr="00312389">
        <w:rPr>
          <w:rFonts w:ascii="Arial" w:hAnsi="Arial" w:cs="Arial"/>
          <w:i/>
        </w:rPr>
        <w:t>: Journal of Criminal Justice &amp;</w:t>
      </w:r>
      <w:r w:rsidR="00E606F7">
        <w:rPr>
          <w:rFonts w:ascii="Arial" w:hAnsi="Arial" w:cs="Arial"/>
        </w:rPr>
        <w:t xml:space="preserve"> </w:t>
      </w:r>
      <w:r w:rsidRPr="00312389">
        <w:rPr>
          <w:rFonts w:ascii="Arial" w:hAnsi="Arial" w:cs="Arial"/>
          <w:i/>
        </w:rPr>
        <w:t>Security</w:t>
      </w:r>
      <w:r w:rsidRPr="00312389">
        <w:rPr>
          <w:rFonts w:ascii="Arial" w:hAnsi="Arial" w:cs="Arial"/>
        </w:rPr>
        <w:t>​, ​</w:t>
      </w:r>
      <w:r w:rsidRPr="00312389">
        <w:rPr>
          <w:rFonts w:ascii="Arial" w:hAnsi="Arial" w:cs="Arial"/>
          <w:i/>
        </w:rPr>
        <w:t>16</w:t>
      </w:r>
      <w:r w:rsidRPr="00312389">
        <w:rPr>
          <w:rFonts w:ascii="Arial" w:hAnsi="Arial" w:cs="Arial"/>
        </w:rPr>
        <w:t xml:space="preserve">​(2). </w:t>
      </w:r>
    </w:p>
    <w:p w14:paraId="381D0979" w14:textId="5F3F7004" w:rsidR="002C0681" w:rsidRPr="00312389" w:rsidRDefault="002C0681" w:rsidP="00D40EBB">
      <w:pPr>
        <w:spacing w:line="480" w:lineRule="auto"/>
        <w:rPr>
          <w:rFonts w:ascii="Arial" w:hAnsi="Arial" w:cs="Arial"/>
        </w:rPr>
      </w:pPr>
      <w:proofErr w:type="spellStart"/>
      <w:r w:rsidRPr="00312389">
        <w:rPr>
          <w:rFonts w:ascii="Arial" w:hAnsi="Arial" w:cs="Arial"/>
        </w:rPr>
        <w:lastRenderedPageBreak/>
        <w:t>Biggam</w:t>
      </w:r>
      <w:proofErr w:type="spellEnd"/>
      <w:r w:rsidRPr="00312389">
        <w:rPr>
          <w:rFonts w:ascii="Arial" w:hAnsi="Arial" w:cs="Arial"/>
        </w:rPr>
        <w:t>, J. (2015). </w:t>
      </w:r>
      <w:r w:rsidRPr="00106F2C">
        <w:rPr>
          <w:rFonts w:ascii="Arial" w:hAnsi="Arial" w:cs="Arial"/>
          <w:u w:val="single"/>
        </w:rPr>
        <w:t>Succeeding with your master's dissertation: a step-by-step handbook.</w:t>
      </w:r>
      <w:r w:rsidRPr="00312389">
        <w:rPr>
          <w:rFonts w:ascii="Arial" w:hAnsi="Arial" w:cs="Arial"/>
        </w:rPr>
        <w:t xml:space="preserve"> UK: McGraw-Hill Education.</w:t>
      </w:r>
    </w:p>
    <w:p w14:paraId="4D012692" w14:textId="77777777" w:rsidR="002C0681" w:rsidRPr="00312389" w:rsidRDefault="002C0681" w:rsidP="00D40EBB">
      <w:pPr>
        <w:spacing w:line="480" w:lineRule="auto"/>
        <w:rPr>
          <w:rFonts w:ascii="Arial" w:hAnsi="Arial" w:cs="Arial"/>
        </w:rPr>
      </w:pPr>
      <w:r w:rsidRPr="00312389">
        <w:rPr>
          <w:rFonts w:ascii="Arial" w:hAnsi="Arial" w:cs="Arial"/>
        </w:rPr>
        <w:t xml:space="preserve">Bishop, L. and </w:t>
      </w:r>
      <w:proofErr w:type="spellStart"/>
      <w:r w:rsidRPr="00312389">
        <w:rPr>
          <w:rFonts w:ascii="Arial" w:hAnsi="Arial" w:cs="Arial"/>
        </w:rPr>
        <w:t>Kuula-Luumi</w:t>
      </w:r>
      <w:proofErr w:type="spellEnd"/>
      <w:r w:rsidRPr="00312389">
        <w:rPr>
          <w:rFonts w:ascii="Arial" w:hAnsi="Arial" w:cs="Arial"/>
        </w:rPr>
        <w:t xml:space="preserve">, A. (2017). </w:t>
      </w:r>
      <w:r w:rsidRPr="00187D99">
        <w:rPr>
          <w:rFonts w:ascii="Arial" w:hAnsi="Arial" w:cs="Arial"/>
          <w:u w:val="single"/>
        </w:rPr>
        <w:t>Revisiting qualitative data reuse: A decade on.</w:t>
      </w:r>
      <w:r w:rsidRPr="00312389">
        <w:rPr>
          <w:rFonts w:ascii="Arial" w:hAnsi="Arial" w:cs="Arial"/>
        </w:rPr>
        <w:t> </w:t>
      </w:r>
      <w:r w:rsidRPr="00312389">
        <w:rPr>
          <w:rFonts w:ascii="Arial" w:hAnsi="Arial" w:cs="Arial"/>
          <w:i/>
          <w:iCs/>
        </w:rPr>
        <w:t>Sage Open</w:t>
      </w:r>
      <w:r w:rsidRPr="00312389">
        <w:rPr>
          <w:rFonts w:ascii="Arial" w:hAnsi="Arial" w:cs="Arial"/>
        </w:rPr>
        <w:t>, </w:t>
      </w:r>
      <w:r w:rsidRPr="00312389">
        <w:rPr>
          <w:rFonts w:ascii="Arial" w:hAnsi="Arial" w:cs="Arial"/>
          <w:i/>
          <w:iCs/>
        </w:rPr>
        <w:t>7</w:t>
      </w:r>
      <w:r w:rsidRPr="00312389">
        <w:rPr>
          <w:rFonts w:ascii="Arial" w:hAnsi="Arial" w:cs="Arial"/>
        </w:rPr>
        <w:t>(1), p.2158244016685136.</w:t>
      </w:r>
    </w:p>
    <w:p w14:paraId="4031910C" w14:textId="21DF8967" w:rsidR="002C0681" w:rsidRPr="00312389" w:rsidRDefault="002C0681" w:rsidP="00D40EBB">
      <w:pPr>
        <w:spacing w:line="480" w:lineRule="auto"/>
        <w:rPr>
          <w:rFonts w:ascii="Arial" w:hAnsi="Arial" w:cs="Arial"/>
        </w:rPr>
      </w:pPr>
      <w:r w:rsidRPr="00312389">
        <w:rPr>
          <w:rFonts w:ascii="Arial" w:hAnsi="Arial" w:cs="Arial"/>
        </w:rPr>
        <w:t>Bloomberg, L.D. and Volpe, M. (2018). </w:t>
      </w:r>
      <w:r w:rsidRPr="00187D99">
        <w:rPr>
          <w:rFonts w:ascii="Arial" w:hAnsi="Arial" w:cs="Arial"/>
          <w:u w:val="single"/>
        </w:rPr>
        <w:t>Completing your qualitative dissertation: A road map from beginning to end</w:t>
      </w:r>
      <w:r w:rsidRPr="00312389">
        <w:rPr>
          <w:rFonts w:ascii="Arial" w:hAnsi="Arial" w:cs="Arial"/>
        </w:rPr>
        <w:t>. London: Sage Publications.</w:t>
      </w:r>
    </w:p>
    <w:p w14:paraId="60A087A5" w14:textId="77777777" w:rsidR="00584FB3" w:rsidRDefault="0002305E" w:rsidP="00D40EBB">
      <w:pPr>
        <w:spacing w:line="480" w:lineRule="auto"/>
        <w:rPr>
          <w:rFonts w:ascii="Arial" w:hAnsi="Arial" w:cs="Arial"/>
        </w:rPr>
      </w:pPr>
      <w:proofErr w:type="spellStart"/>
      <w:r w:rsidRPr="00312389">
        <w:rPr>
          <w:rFonts w:ascii="Arial" w:hAnsi="Arial" w:cs="Arial"/>
        </w:rPr>
        <w:t>Brantly</w:t>
      </w:r>
      <w:proofErr w:type="spellEnd"/>
      <w:r w:rsidRPr="00312389">
        <w:rPr>
          <w:rFonts w:ascii="Arial" w:hAnsi="Arial" w:cs="Arial"/>
        </w:rPr>
        <w:t xml:space="preserve">, A.F. (2019). </w:t>
      </w:r>
      <w:r w:rsidRPr="00187D99">
        <w:rPr>
          <w:rFonts w:ascii="Arial" w:hAnsi="Arial" w:cs="Arial"/>
          <w:u w:val="single"/>
        </w:rPr>
        <w:t>Conceptualizing cyber policy through complexity theory.</w:t>
      </w:r>
      <w:r w:rsidRPr="00312389">
        <w:rPr>
          <w:rFonts w:ascii="Arial" w:hAnsi="Arial" w:cs="Arial"/>
        </w:rPr>
        <w:t xml:space="preserve"> ​</w:t>
      </w:r>
      <w:r w:rsidRPr="00312389">
        <w:rPr>
          <w:rFonts w:ascii="Arial" w:hAnsi="Arial" w:cs="Arial"/>
          <w:i/>
        </w:rPr>
        <w:t>Journal of Cyber Policy</w:t>
      </w:r>
      <w:r w:rsidRPr="00312389">
        <w:rPr>
          <w:rFonts w:ascii="Arial" w:hAnsi="Arial" w:cs="Arial"/>
        </w:rPr>
        <w:t xml:space="preserve">​, pp.1-15. </w:t>
      </w:r>
    </w:p>
    <w:p w14:paraId="0A24A76E" w14:textId="4DC313F4" w:rsidR="002C0681" w:rsidRPr="00312389" w:rsidRDefault="002C0681" w:rsidP="00D40EBB">
      <w:pPr>
        <w:spacing w:line="480" w:lineRule="auto"/>
        <w:rPr>
          <w:rFonts w:ascii="Arial" w:hAnsi="Arial" w:cs="Arial"/>
        </w:rPr>
      </w:pPr>
      <w:proofErr w:type="spellStart"/>
      <w:r w:rsidRPr="00312389">
        <w:rPr>
          <w:rFonts w:ascii="Arial" w:hAnsi="Arial" w:cs="Arial"/>
        </w:rPr>
        <w:t>Bryman</w:t>
      </w:r>
      <w:proofErr w:type="spellEnd"/>
      <w:r w:rsidRPr="00312389">
        <w:rPr>
          <w:rFonts w:ascii="Arial" w:hAnsi="Arial" w:cs="Arial"/>
        </w:rPr>
        <w:t xml:space="preserve">, A., </w:t>
      </w:r>
      <w:proofErr w:type="spellStart"/>
      <w:r w:rsidRPr="00312389">
        <w:rPr>
          <w:rFonts w:ascii="Arial" w:hAnsi="Arial" w:cs="Arial"/>
        </w:rPr>
        <w:t>Teevan</w:t>
      </w:r>
      <w:proofErr w:type="spellEnd"/>
      <w:r w:rsidRPr="00312389">
        <w:rPr>
          <w:rFonts w:ascii="Arial" w:hAnsi="Arial" w:cs="Arial"/>
        </w:rPr>
        <w:t xml:space="preserve">, J.J. and Bell, E. (2009). </w:t>
      </w:r>
      <w:r w:rsidRPr="00966095">
        <w:rPr>
          <w:rFonts w:ascii="Arial" w:hAnsi="Arial" w:cs="Arial"/>
          <w:u w:val="single"/>
        </w:rPr>
        <w:t>Social Research Methods. 2nd Canadian Edition</w:t>
      </w:r>
      <w:r w:rsidRPr="00312389">
        <w:rPr>
          <w:rFonts w:ascii="Arial" w:hAnsi="Arial" w:cs="Arial"/>
        </w:rPr>
        <w:t>. </w:t>
      </w:r>
      <w:r w:rsidRPr="00C93B96">
        <w:rPr>
          <w:rFonts w:ascii="Arial" w:hAnsi="Arial" w:cs="Arial"/>
        </w:rPr>
        <w:t>Don Mills</w:t>
      </w:r>
      <w:r w:rsidRPr="00312389">
        <w:rPr>
          <w:rFonts w:ascii="Arial" w:hAnsi="Arial" w:cs="Arial"/>
          <w:i/>
          <w:iCs/>
        </w:rPr>
        <w:t xml:space="preserve">: </w:t>
      </w:r>
      <w:r w:rsidRPr="00465498">
        <w:rPr>
          <w:rFonts w:ascii="Arial" w:hAnsi="Arial" w:cs="Arial"/>
        </w:rPr>
        <w:t>Oxford University.</w:t>
      </w:r>
    </w:p>
    <w:p w14:paraId="08928E3B" w14:textId="58544E28" w:rsidR="003904DF" w:rsidRDefault="00642D5B" w:rsidP="00D40EBB">
      <w:pPr>
        <w:spacing w:line="480" w:lineRule="auto"/>
        <w:rPr>
          <w:rFonts w:ascii="Arial" w:hAnsi="Arial" w:cs="Arial"/>
        </w:rPr>
      </w:pPr>
      <w:r w:rsidRPr="00312389">
        <w:rPr>
          <w:rFonts w:ascii="Arial" w:hAnsi="Arial" w:cs="Arial"/>
        </w:rPr>
        <w:t>Callahan, J., Bastos, C. and Keyes, D.</w:t>
      </w:r>
      <w:r w:rsidR="00EB22A7" w:rsidRPr="00312389">
        <w:rPr>
          <w:rFonts w:ascii="Arial" w:hAnsi="Arial" w:cs="Arial"/>
        </w:rPr>
        <w:t xml:space="preserve"> (</w:t>
      </w:r>
      <w:r w:rsidRPr="00312389">
        <w:rPr>
          <w:rFonts w:ascii="Arial" w:hAnsi="Arial" w:cs="Arial"/>
        </w:rPr>
        <w:t>2004</w:t>
      </w:r>
      <w:r w:rsidR="00EB22A7" w:rsidRPr="00312389">
        <w:rPr>
          <w:rFonts w:ascii="Arial" w:hAnsi="Arial" w:cs="Arial"/>
        </w:rPr>
        <w:t>)</w:t>
      </w:r>
      <w:r w:rsidRPr="00312389">
        <w:rPr>
          <w:rFonts w:ascii="Arial" w:hAnsi="Arial" w:cs="Arial"/>
        </w:rPr>
        <w:t xml:space="preserve">. </w:t>
      </w:r>
      <w:r w:rsidRPr="00A37458">
        <w:rPr>
          <w:rFonts w:ascii="Arial" w:hAnsi="Arial" w:cs="Arial"/>
          <w:u w:val="single"/>
        </w:rPr>
        <w:t>The evolution of IT Governance at NB Power</w:t>
      </w:r>
      <w:r w:rsidRPr="00312389">
        <w:rPr>
          <w:rFonts w:ascii="Arial" w:hAnsi="Arial" w:cs="Arial"/>
        </w:rPr>
        <w:t xml:space="preserve">. In </w:t>
      </w:r>
      <w:r w:rsidRPr="00312389">
        <w:rPr>
          <w:rFonts w:ascii="Arial" w:hAnsi="Arial" w:cs="Arial"/>
          <w:i/>
          <w:iCs/>
        </w:rPr>
        <w:t>Strategies for information technology governance</w:t>
      </w:r>
      <w:r w:rsidRPr="00312389">
        <w:rPr>
          <w:rFonts w:ascii="Arial" w:hAnsi="Arial" w:cs="Arial"/>
        </w:rPr>
        <w:t xml:space="preserve"> (pp. 343-356).</w:t>
      </w:r>
      <w:r w:rsidR="00966095">
        <w:rPr>
          <w:rFonts w:ascii="Arial" w:hAnsi="Arial" w:cs="Arial"/>
        </w:rPr>
        <w:t xml:space="preserve"> </w:t>
      </w:r>
      <w:r w:rsidR="0043094D">
        <w:rPr>
          <w:rFonts w:ascii="Arial" w:hAnsi="Arial" w:cs="Arial"/>
        </w:rPr>
        <w:t>Pennsylvania:</w:t>
      </w:r>
      <w:r w:rsidRPr="00312389">
        <w:rPr>
          <w:rFonts w:ascii="Arial" w:hAnsi="Arial" w:cs="Arial"/>
        </w:rPr>
        <w:t xml:space="preserve"> I</w:t>
      </w:r>
      <w:r w:rsidR="0002305E" w:rsidRPr="00312389">
        <w:rPr>
          <w:rFonts w:ascii="Arial" w:hAnsi="Arial" w:cs="Arial"/>
        </w:rPr>
        <w:t>GI</w:t>
      </w:r>
      <w:r w:rsidRPr="00312389">
        <w:rPr>
          <w:rFonts w:ascii="Arial" w:hAnsi="Arial" w:cs="Arial"/>
        </w:rPr>
        <w:t xml:space="preserve"> Global.</w:t>
      </w:r>
    </w:p>
    <w:p w14:paraId="38B357FD" w14:textId="46D8DC91" w:rsidR="00642D5B" w:rsidRPr="00312389" w:rsidRDefault="00642D5B" w:rsidP="00D40EBB">
      <w:pPr>
        <w:spacing w:line="480" w:lineRule="auto"/>
        <w:rPr>
          <w:rFonts w:ascii="Arial" w:hAnsi="Arial" w:cs="Arial"/>
        </w:rPr>
      </w:pPr>
      <w:proofErr w:type="spellStart"/>
      <w:r w:rsidRPr="00312389">
        <w:rPr>
          <w:rFonts w:ascii="Arial" w:hAnsi="Arial" w:cs="Arial"/>
        </w:rPr>
        <w:t>Carr</w:t>
      </w:r>
      <w:proofErr w:type="spellEnd"/>
      <w:r w:rsidRPr="00312389">
        <w:rPr>
          <w:rFonts w:ascii="Arial" w:hAnsi="Arial" w:cs="Arial"/>
        </w:rPr>
        <w:t xml:space="preserve">, M. and </w:t>
      </w:r>
      <w:proofErr w:type="spellStart"/>
      <w:r w:rsidRPr="00312389">
        <w:rPr>
          <w:rFonts w:ascii="Arial" w:hAnsi="Arial" w:cs="Arial"/>
        </w:rPr>
        <w:t>Tanczer</w:t>
      </w:r>
      <w:proofErr w:type="spellEnd"/>
      <w:r w:rsidRPr="00312389">
        <w:rPr>
          <w:rFonts w:ascii="Arial" w:hAnsi="Arial" w:cs="Arial"/>
        </w:rPr>
        <w:t>, L.M.</w:t>
      </w:r>
      <w:r w:rsidR="00EB22A7" w:rsidRPr="00312389">
        <w:rPr>
          <w:rFonts w:ascii="Arial" w:hAnsi="Arial" w:cs="Arial"/>
        </w:rPr>
        <w:t xml:space="preserve"> (</w:t>
      </w:r>
      <w:r w:rsidRPr="00312389">
        <w:rPr>
          <w:rFonts w:ascii="Arial" w:hAnsi="Arial" w:cs="Arial"/>
        </w:rPr>
        <w:t>2018</w:t>
      </w:r>
      <w:r w:rsidR="00EB22A7" w:rsidRPr="00312389">
        <w:rPr>
          <w:rFonts w:ascii="Arial" w:hAnsi="Arial" w:cs="Arial"/>
        </w:rPr>
        <w:t>)</w:t>
      </w:r>
      <w:r w:rsidRPr="00312389">
        <w:rPr>
          <w:rFonts w:ascii="Arial" w:hAnsi="Arial" w:cs="Arial"/>
        </w:rPr>
        <w:t xml:space="preserve">. </w:t>
      </w:r>
      <w:r w:rsidRPr="003904DF">
        <w:rPr>
          <w:rFonts w:ascii="Arial" w:hAnsi="Arial" w:cs="Arial"/>
          <w:u w:val="single"/>
        </w:rPr>
        <w:t>UK cybersecurity industrial policy: an analysis of drivers, market failures and interventions</w:t>
      </w:r>
      <w:r w:rsidRPr="00312389">
        <w:rPr>
          <w:rFonts w:ascii="Arial" w:hAnsi="Arial" w:cs="Arial"/>
        </w:rPr>
        <w:t>. </w:t>
      </w:r>
      <w:r w:rsidRPr="00312389">
        <w:rPr>
          <w:rFonts w:ascii="Arial" w:hAnsi="Arial" w:cs="Arial"/>
          <w:i/>
          <w:iCs/>
        </w:rPr>
        <w:t>Journal of Cyber Policy</w:t>
      </w:r>
      <w:r w:rsidRPr="00312389">
        <w:rPr>
          <w:rFonts w:ascii="Arial" w:hAnsi="Arial" w:cs="Arial"/>
        </w:rPr>
        <w:t>, </w:t>
      </w:r>
      <w:r w:rsidRPr="00312389">
        <w:rPr>
          <w:rFonts w:ascii="Arial" w:hAnsi="Arial" w:cs="Arial"/>
          <w:i/>
          <w:iCs/>
        </w:rPr>
        <w:t>3</w:t>
      </w:r>
      <w:r w:rsidRPr="00312389">
        <w:rPr>
          <w:rFonts w:ascii="Arial" w:hAnsi="Arial" w:cs="Arial"/>
        </w:rPr>
        <w:t>(3), pp.430-444.</w:t>
      </w:r>
    </w:p>
    <w:p w14:paraId="5DEE8CFF" w14:textId="68548DA9" w:rsidR="0002305E" w:rsidRPr="00312389" w:rsidRDefault="0002305E" w:rsidP="00D40EBB">
      <w:pPr>
        <w:spacing w:line="480" w:lineRule="auto"/>
        <w:rPr>
          <w:rFonts w:ascii="Arial" w:hAnsi="Arial" w:cs="Arial"/>
        </w:rPr>
      </w:pPr>
      <w:r w:rsidRPr="00312389">
        <w:rPr>
          <w:rFonts w:ascii="Arial" w:hAnsi="Arial" w:cs="Arial"/>
        </w:rPr>
        <w:t xml:space="preserve">Cater-Steel, A. and </w:t>
      </w:r>
      <w:proofErr w:type="spellStart"/>
      <w:r w:rsidRPr="00312389">
        <w:rPr>
          <w:rFonts w:ascii="Arial" w:hAnsi="Arial" w:cs="Arial"/>
        </w:rPr>
        <w:t>Toleman</w:t>
      </w:r>
      <w:proofErr w:type="spellEnd"/>
      <w:r w:rsidRPr="00312389">
        <w:rPr>
          <w:rFonts w:ascii="Arial" w:hAnsi="Arial" w:cs="Arial"/>
        </w:rPr>
        <w:t xml:space="preserve">, M. (2010). </w:t>
      </w:r>
      <w:r w:rsidRPr="003904DF">
        <w:rPr>
          <w:rFonts w:ascii="Arial" w:hAnsi="Arial" w:cs="Arial"/>
          <w:u w:val="single"/>
        </w:rPr>
        <w:t>IT service management standards: education challenges</w:t>
      </w:r>
      <w:r w:rsidRPr="00312389">
        <w:rPr>
          <w:rFonts w:ascii="Arial" w:hAnsi="Arial" w:cs="Arial"/>
        </w:rPr>
        <w:t>. In ​</w:t>
      </w:r>
      <w:r w:rsidRPr="00312389">
        <w:rPr>
          <w:rFonts w:ascii="Arial" w:hAnsi="Arial" w:cs="Arial"/>
          <w:i/>
        </w:rPr>
        <w:t>New applications in IT standards: developments and progress</w:t>
      </w:r>
      <w:r w:rsidRPr="00312389">
        <w:rPr>
          <w:rFonts w:ascii="Arial" w:hAnsi="Arial" w:cs="Arial"/>
        </w:rPr>
        <w:t xml:space="preserve">​ (pp. 225-241). </w:t>
      </w:r>
      <w:r w:rsidR="00E66D6E">
        <w:rPr>
          <w:rFonts w:ascii="Arial" w:hAnsi="Arial" w:cs="Arial"/>
        </w:rPr>
        <w:t xml:space="preserve">Pennsylvania: </w:t>
      </w:r>
      <w:r w:rsidRPr="00312389">
        <w:rPr>
          <w:rFonts w:ascii="Arial" w:hAnsi="Arial" w:cs="Arial"/>
        </w:rPr>
        <w:t>IGI Global.</w:t>
      </w:r>
    </w:p>
    <w:p w14:paraId="534355AF" w14:textId="097162F8" w:rsidR="00642D5B" w:rsidRPr="00312389" w:rsidRDefault="00642D5B" w:rsidP="00D40EBB">
      <w:pPr>
        <w:spacing w:line="480" w:lineRule="auto"/>
        <w:rPr>
          <w:rFonts w:ascii="Arial" w:hAnsi="Arial" w:cs="Arial"/>
        </w:rPr>
      </w:pPr>
      <w:proofErr w:type="spellStart"/>
      <w:r w:rsidRPr="00312389">
        <w:rPr>
          <w:rFonts w:ascii="Arial" w:hAnsi="Arial" w:cs="Arial"/>
        </w:rPr>
        <w:t>Chakravorti</w:t>
      </w:r>
      <w:proofErr w:type="spellEnd"/>
      <w:r w:rsidRPr="00312389">
        <w:rPr>
          <w:rFonts w:ascii="Arial" w:hAnsi="Arial" w:cs="Arial"/>
        </w:rPr>
        <w:t xml:space="preserve">, B. and </w:t>
      </w:r>
      <w:proofErr w:type="spellStart"/>
      <w:r w:rsidRPr="00312389">
        <w:rPr>
          <w:rFonts w:ascii="Arial" w:hAnsi="Arial" w:cs="Arial"/>
        </w:rPr>
        <w:t>Chaturvedi</w:t>
      </w:r>
      <w:proofErr w:type="spellEnd"/>
      <w:r w:rsidRPr="00312389">
        <w:rPr>
          <w:rFonts w:ascii="Arial" w:hAnsi="Arial" w:cs="Arial"/>
        </w:rPr>
        <w:t>, R.S.</w:t>
      </w:r>
      <w:r w:rsidR="00EB22A7" w:rsidRPr="00312389">
        <w:rPr>
          <w:rFonts w:ascii="Arial" w:hAnsi="Arial" w:cs="Arial"/>
        </w:rPr>
        <w:t xml:space="preserve"> (</w:t>
      </w:r>
      <w:r w:rsidRPr="00312389">
        <w:rPr>
          <w:rFonts w:ascii="Arial" w:hAnsi="Arial" w:cs="Arial"/>
        </w:rPr>
        <w:t>2017</w:t>
      </w:r>
      <w:r w:rsidR="00EB22A7" w:rsidRPr="00312389">
        <w:rPr>
          <w:rFonts w:ascii="Arial" w:hAnsi="Arial" w:cs="Arial"/>
        </w:rPr>
        <w:t>)</w:t>
      </w:r>
      <w:r w:rsidRPr="00312389">
        <w:rPr>
          <w:rFonts w:ascii="Arial" w:hAnsi="Arial" w:cs="Arial"/>
        </w:rPr>
        <w:t xml:space="preserve">. </w:t>
      </w:r>
      <w:r w:rsidRPr="003904DF">
        <w:rPr>
          <w:rFonts w:ascii="Arial" w:hAnsi="Arial" w:cs="Arial"/>
          <w:u w:val="single"/>
        </w:rPr>
        <w:t>Digital planet 2017: how competitiveness and trust in digital economies vary across the world</w:t>
      </w:r>
      <w:r w:rsidRPr="00312389">
        <w:rPr>
          <w:rFonts w:ascii="Arial" w:hAnsi="Arial" w:cs="Arial"/>
        </w:rPr>
        <w:t>. </w:t>
      </w:r>
      <w:r w:rsidRPr="00312389">
        <w:rPr>
          <w:rFonts w:ascii="Arial" w:hAnsi="Arial" w:cs="Arial"/>
          <w:i/>
          <w:iCs/>
        </w:rPr>
        <w:t>The Fletcher School, Tufts University</w:t>
      </w:r>
      <w:r w:rsidRPr="00312389">
        <w:rPr>
          <w:rFonts w:ascii="Arial" w:hAnsi="Arial" w:cs="Arial"/>
        </w:rPr>
        <w:t>, </w:t>
      </w:r>
      <w:r w:rsidRPr="00312389">
        <w:rPr>
          <w:rFonts w:ascii="Arial" w:hAnsi="Arial" w:cs="Arial"/>
          <w:i/>
          <w:iCs/>
        </w:rPr>
        <w:t>70</w:t>
      </w:r>
      <w:r w:rsidRPr="00312389">
        <w:rPr>
          <w:rFonts w:ascii="Arial" w:hAnsi="Arial" w:cs="Arial"/>
        </w:rPr>
        <w:t>, p.70.</w:t>
      </w:r>
    </w:p>
    <w:p w14:paraId="52E55AAF" w14:textId="499428ED" w:rsidR="009C4BC1" w:rsidRPr="00312389" w:rsidRDefault="00642D5B" w:rsidP="00D40EBB">
      <w:pPr>
        <w:spacing w:line="480" w:lineRule="auto"/>
        <w:rPr>
          <w:rFonts w:ascii="Arial" w:hAnsi="Arial" w:cs="Arial"/>
        </w:rPr>
      </w:pPr>
      <w:r w:rsidRPr="00312389">
        <w:rPr>
          <w:rFonts w:ascii="Arial" w:hAnsi="Arial" w:cs="Arial"/>
        </w:rPr>
        <w:lastRenderedPageBreak/>
        <w:t>Cheung, T.M.</w:t>
      </w:r>
      <w:r w:rsidR="00EB22A7" w:rsidRPr="00312389">
        <w:rPr>
          <w:rFonts w:ascii="Arial" w:hAnsi="Arial" w:cs="Arial"/>
        </w:rPr>
        <w:t xml:space="preserve"> (</w:t>
      </w:r>
      <w:r w:rsidRPr="00312389">
        <w:rPr>
          <w:rFonts w:ascii="Arial" w:hAnsi="Arial" w:cs="Arial"/>
        </w:rPr>
        <w:t>2018</w:t>
      </w:r>
      <w:r w:rsidR="00EB22A7" w:rsidRPr="00312389">
        <w:rPr>
          <w:rFonts w:ascii="Arial" w:hAnsi="Arial" w:cs="Arial"/>
        </w:rPr>
        <w:t>)</w:t>
      </w:r>
      <w:r w:rsidRPr="00312389">
        <w:rPr>
          <w:rFonts w:ascii="Arial" w:hAnsi="Arial" w:cs="Arial"/>
        </w:rPr>
        <w:t xml:space="preserve">. </w:t>
      </w:r>
      <w:r w:rsidRPr="003904DF">
        <w:rPr>
          <w:rFonts w:ascii="Arial" w:hAnsi="Arial" w:cs="Arial"/>
          <w:u w:val="single"/>
        </w:rPr>
        <w:t>The rise of China as a cybersecurity industrial power: balancing national security, geopolitical, and development priorities</w:t>
      </w:r>
      <w:r w:rsidRPr="00312389">
        <w:rPr>
          <w:rFonts w:ascii="Arial" w:hAnsi="Arial" w:cs="Arial"/>
        </w:rPr>
        <w:t>. </w:t>
      </w:r>
      <w:r w:rsidRPr="00312389">
        <w:rPr>
          <w:rFonts w:ascii="Arial" w:hAnsi="Arial" w:cs="Arial"/>
          <w:i/>
          <w:iCs/>
        </w:rPr>
        <w:t>Journal of Cyber Policy</w:t>
      </w:r>
      <w:r w:rsidRPr="00312389">
        <w:rPr>
          <w:rFonts w:ascii="Arial" w:hAnsi="Arial" w:cs="Arial"/>
        </w:rPr>
        <w:t>, </w:t>
      </w:r>
      <w:r w:rsidRPr="00312389">
        <w:rPr>
          <w:rFonts w:ascii="Arial" w:hAnsi="Arial" w:cs="Arial"/>
          <w:i/>
          <w:iCs/>
        </w:rPr>
        <w:t>3</w:t>
      </w:r>
      <w:r w:rsidRPr="00312389">
        <w:rPr>
          <w:rFonts w:ascii="Arial" w:hAnsi="Arial" w:cs="Arial"/>
        </w:rPr>
        <w:t>(3), pp.306-326.</w:t>
      </w:r>
    </w:p>
    <w:p w14:paraId="7C63C922" w14:textId="77777777" w:rsidR="002C0681" w:rsidRPr="00312389" w:rsidRDefault="002C0681" w:rsidP="00D40EBB">
      <w:pPr>
        <w:spacing w:line="480" w:lineRule="auto"/>
        <w:rPr>
          <w:rFonts w:ascii="Arial" w:hAnsi="Arial" w:cs="Arial"/>
        </w:rPr>
      </w:pPr>
      <w:r w:rsidRPr="00312389">
        <w:rPr>
          <w:rFonts w:ascii="Arial" w:hAnsi="Arial" w:cs="Arial"/>
        </w:rPr>
        <w:t xml:space="preserve">Clarke, S.P. and Cossette, S. (2016). </w:t>
      </w:r>
      <w:r w:rsidRPr="003904DF">
        <w:rPr>
          <w:rFonts w:ascii="Arial" w:hAnsi="Arial" w:cs="Arial"/>
          <w:u w:val="single"/>
        </w:rPr>
        <w:t>Secondary analysis: Theoretical, methodological, and practical considerations</w:t>
      </w:r>
      <w:r w:rsidRPr="00312389">
        <w:rPr>
          <w:rFonts w:ascii="Arial" w:hAnsi="Arial" w:cs="Arial"/>
        </w:rPr>
        <w:t>. </w:t>
      </w:r>
      <w:r w:rsidRPr="00312389">
        <w:rPr>
          <w:rFonts w:ascii="Arial" w:hAnsi="Arial" w:cs="Arial"/>
          <w:i/>
          <w:iCs/>
        </w:rPr>
        <w:t>Canadian Journal of Nursing Research Archive</w:t>
      </w:r>
      <w:r w:rsidRPr="00312389">
        <w:rPr>
          <w:rFonts w:ascii="Arial" w:hAnsi="Arial" w:cs="Arial"/>
        </w:rPr>
        <w:t>, </w:t>
      </w:r>
      <w:r w:rsidRPr="00312389">
        <w:rPr>
          <w:rFonts w:ascii="Arial" w:hAnsi="Arial" w:cs="Arial"/>
          <w:i/>
          <w:iCs/>
        </w:rPr>
        <w:t>32</w:t>
      </w:r>
      <w:r w:rsidRPr="00312389">
        <w:rPr>
          <w:rFonts w:ascii="Arial" w:hAnsi="Arial" w:cs="Arial"/>
        </w:rPr>
        <w:t>(3).</w:t>
      </w:r>
    </w:p>
    <w:p w14:paraId="74994F4C" w14:textId="4387A9B4" w:rsidR="009C4BC1" w:rsidRPr="00312389" w:rsidRDefault="009C4BC1" w:rsidP="00D40EBB">
      <w:pPr>
        <w:spacing w:line="480" w:lineRule="auto"/>
        <w:rPr>
          <w:rFonts w:ascii="Arial" w:hAnsi="Arial" w:cs="Arial"/>
        </w:rPr>
      </w:pPr>
      <w:proofErr w:type="spellStart"/>
      <w:r w:rsidRPr="00312389">
        <w:rPr>
          <w:rFonts w:ascii="Arial" w:hAnsi="Arial" w:cs="Arial"/>
        </w:rPr>
        <w:t>Coltman</w:t>
      </w:r>
      <w:proofErr w:type="spellEnd"/>
      <w:r w:rsidRPr="00312389">
        <w:rPr>
          <w:rFonts w:ascii="Arial" w:hAnsi="Arial" w:cs="Arial"/>
        </w:rPr>
        <w:t xml:space="preserve">, T., </w:t>
      </w:r>
      <w:proofErr w:type="spellStart"/>
      <w:r w:rsidRPr="00312389">
        <w:rPr>
          <w:rFonts w:ascii="Arial" w:hAnsi="Arial" w:cs="Arial"/>
        </w:rPr>
        <w:t>Tallon</w:t>
      </w:r>
      <w:proofErr w:type="spellEnd"/>
      <w:r w:rsidRPr="00312389">
        <w:rPr>
          <w:rFonts w:ascii="Arial" w:hAnsi="Arial" w:cs="Arial"/>
        </w:rPr>
        <w:t xml:space="preserve">, P., Sharma, R. and </w:t>
      </w:r>
      <w:proofErr w:type="spellStart"/>
      <w:r w:rsidRPr="00312389">
        <w:rPr>
          <w:rFonts w:ascii="Arial" w:hAnsi="Arial" w:cs="Arial"/>
        </w:rPr>
        <w:t>Queiroz</w:t>
      </w:r>
      <w:proofErr w:type="spellEnd"/>
      <w:r w:rsidRPr="00312389">
        <w:rPr>
          <w:rFonts w:ascii="Arial" w:hAnsi="Arial" w:cs="Arial"/>
        </w:rPr>
        <w:t xml:space="preserve">, M. (2015). </w:t>
      </w:r>
      <w:r w:rsidRPr="00713AAD">
        <w:rPr>
          <w:rFonts w:ascii="Arial" w:hAnsi="Arial" w:cs="Arial"/>
          <w:u w:val="single"/>
        </w:rPr>
        <w:t>Strategic IT alignment: twenty-five years on</w:t>
      </w:r>
      <w:r w:rsidRPr="00312389">
        <w:rPr>
          <w:rFonts w:ascii="Arial" w:hAnsi="Arial" w:cs="Arial"/>
        </w:rPr>
        <w:t xml:space="preserve">. Available at https://link.springer.com/content/pdf/10.1057/jit.2014.35.pdf (Accessed: 19 </w:t>
      </w:r>
      <w:r w:rsidR="00934D38">
        <w:rPr>
          <w:rFonts w:ascii="Arial" w:hAnsi="Arial" w:cs="Arial"/>
        </w:rPr>
        <w:t>April</w:t>
      </w:r>
      <w:r w:rsidRPr="00312389">
        <w:rPr>
          <w:rFonts w:ascii="Arial" w:hAnsi="Arial" w:cs="Arial"/>
        </w:rPr>
        <w:t xml:space="preserve"> 20</w:t>
      </w:r>
      <w:r w:rsidR="00886252">
        <w:rPr>
          <w:rFonts w:ascii="Arial" w:hAnsi="Arial" w:cs="Arial"/>
        </w:rPr>
        <w:t>21</w:t>
      </w:r>
      <w:r w:rsidRPr="00312389">
        <w:rPr>
          <w:rFonts w:ascii="Arial" w:hAnsi="Arial" w:cs="Arial"/>
        </w:rPr>
        <w:t>).</w:t>
      </w:r>
    </w:p>
    <w:p w14:paraId="7F581FF0" w14:textId="77777777" w:rsidR="002C0681" w:rsidRPr="00312389" w:rsidRDefault="002C0681" w:rsidP="00D40EBB">
      <w:pPr>
        <w:spacing w:line="480" w:lineRule="auto"/>
        <w:rPr>
          <w:rFonts w:ascii="Arial" w:hAnsi="Arial" w:cs="Arial"/>
        </w:rPr>
      </w:pPr>
      <w:r w:rsidRPr="00312389">
        <w:rPr>
          <w:rFonts w:ascii="Arial" w:hAnsi="Arial" w:cs="Arial"/>
        </w:rPr>
        <w:t xml:space="preserve">Cunha, L.O. and Alves, J.M. (2014). </w:t>
      </w:r>
      <w:r w:rsidRPr="00713AAD">
        <w:rPr>
          <w:rFonts w:ascii="Arial" w:hAnsi="Arial" w:cs="Arial"/>
          <w:u w:val="single"/>
        </w:rPr>
        <w:t>Application of Lean manufacturing and quality management in aeronautical industry</w:t>
      </w:r>
      <w:r w:rsidRPr="00312389">
        <w:rPr>
          <w:rFonts w:ascii="Arial" w:hAnsi="Arial" w:cs="Arial"/>
        </w:rPr>
        <w:t>. </w:t>
      </w:r>
      <w:r w:rsidRPr="00312389">
        <w:rPr>
          <w:rFonts w:ascii="Arial" w:hAnsi="Arial" w:cs="Arial"/>
          <w:i/>
          <w:iCs/>
        </w:rPr>
        <w:t>International Review of Mechanical Engineering</w:t>
      </w:r>
      <w:r w:rsidRPr="00312389">
        <w:rPr>
          <w:rFonts w:ascii="Arial" w:hAnsi="Arial" w:cs="Arial"/>
        </w:rPr>
        <w:t>, </w:t>
      </w:r>
      <w:r w:rsidRPr="00312389">
        <w:rPr>
          <w:rFonts w:ascii="Arial" w:hAnsi="Arial" w:cs="Arial"/>
          <w:i/>
          <w:iCs/>
        </w:rPr>
        <w:t>8</w:t>
      </w:r>
      <w:r w:rsidRPr="00312389">
        <w:rPr>
          <w:rFonts w:ascii="Arial" w:hAnsi="Arial" w:cs="Arial"/>
        </w:rPr>
        <w:t>(3), pp.592-598.</w:t>
      </w:r>
    </w:p>
    <w:p w14:paraId="2B2162C8" w14:textId="320B8773" w:rsidR="009C4BC1" w:rsidRPr="00312389" w:rsidRDefault="009C4BC1" w:rsidP="00D40EBB">
      <w:pPr>
        <w:spacing w:line="480" w:lineRule="auto"/>
        <w:rPr>
          <w:rFonts w:ascii="Arial" w:hAnsi="Arial" w:cs="Arial"/>
        </w:rPr>
      </w:pPr>
      <w:r w:rsidRPr="00312389">
        <w:rPr>
          <w:rFonts w:ascii="Arial" w:hAnsi="Arial" w:cs="Arial"/>
        </w:rPr>
        <w:t xml:space="preserve">Dahlberg, T. and </w:t>
      </w:r>
      <w:proofErr w:type="spellStart"/>
      <w:r w:rsidRPr="00312389">
        <w:rPr>
          <w:rFonts w:ascii="Arial" w:hAnsi="Arial" w:cs="Arial"/>
        </w:rPr>
        <w:t>Kivijarvi</w:t>
      </w:r>
      <w:proofErr w:type="spellEnd"/>
      <w:r w:rsidRPr="00312389">
        <w:rPr>
          <w:rFonts w:ascii="Arial" w:hAnsi="Arial" w:cs="Arial"/>
        </w:rPr>
        <w:t xml:space="preserve">, H. (2006), January. </w:t>
      </w:r>
      <w:r w:rsidRPr="00713AAD">
        <w:rPr>
          <w:rFonts w:ascii="Arial" w:hAnsi="Arial" w:cs="Arial"/>
          <w:u w:val="single"/>
        </w:rPr>
        <w:t>An integrated framework for IT governance and the development and validation of an assessment instrument</w:t>
      </w:r>
      <w:r w:rsidRPr="00312389">
        <w:rPr>
          <w:rFonts w:ascii="Arial" w:hAnsi="Arial" w:cs="Arial"/>
        </w:rPr>
        <w:t>. In ​</w:t>
      </w:r>
      <w:r w:rsidRPr="00312389">
        <w:rPr>
          <w:rFonts w:ascii="Arial" w:hAnsi="Arial" w:cs="Arial"/>
          <w:i/>
        </w:rPr>
        <w:t>Proceedings of the 39th Annual Hawaii International Conference on System Sciences (HICSS'06)</w:t>
      </w:r>
      <w:r w:rsidRPr="00312389">
        <w:rPr>
          <w:rFonts w:ascii="Arial" w:hAnsi="Arial" w:cs="Arial"/>
        </w:rPr>
        <w:t xml:space="preserve">​ (Vol. 8, pp. 194b-194b). IEEE. </w:t>
      </w:r>
    </w:p>
    <w:p w14:paraId="21B22CD1" w14:textId="5FE645C4" w:rsidR="00642D5B" w:rsidRPr="00312389" w:rsidRDefault="00642D5B" w:rsidP="00D40EBB">
      <w:pPr>
        <w:spacing w:line="480" w:lineRule="auto"/>
        <w:rPr>
          <w:rFonts w:ascii="Arial" w:hAnsi="Arial" w:cs="Arial"/>
        </w:rPr>
      </w:pPr>
      <w:r w:rsidRPr="00312389">
        <w:rPr>
          <w:rFonts w:ascii="Arial" w:hAnsi="Arial" w:cs="Arial"/>
        </w:rPr>
        <w:t xml:space="preserve">De </w:t>
      </w:r>
      <w:proofErr w:type="spellStart"/>
      <w:r w:rsidRPr="00312389">
        <w:rPr>
          <w:rFonts w:ascii="Arial" w:hAnsi="Arial" w:cs="Arial"/>
        </w:rPr>
        <w:t>Haes</w:t>
      </w:r>
      <w:proofErr w:type="spellEnd"/>
      <w:r w:rsidRPr="00312389">
        <w:rPr>
          <w:rFonts w:ascii="Arial" w:hAnsi="Arial" w:cs="Arial"/>
        </w:rPr>
        <w:t xml:space="preserve">, S. and Van </w:t>
      </w:r>
      <w:proofErr w:type="spellStart"/>
      <w:r w:rsidRPr="00312389">
        <w:rPr>
          <w:rFonts w:ascii="Arial" w:hAnsi="Arial" w:cs="Arial"/>
        </w:rPr>
        <w:t>Grembergen</w:t>
      </w:r>
      <w:proofErr w:type="spellEnd"/>
      <w:r w:rsidRPr="00312389">
        <w:rPr>
          <w:rFonts w:ascii="Arial" w:hAnsi="Arial" w:cs="Arial"/>
        </w:rPr>
        <w:t>, W.</w:t>
      </w:r>
      <w:r w:rsidR="003D1764" w:rsidRPr="00312389">
        <w:rPr>
          <w:rFonts w:ascii="Arial" w:hAnsi="Arial" w:cs="Arial"/>
        </w:rPr>
        <w:t xml:space="preserve"> (</w:t>
      </w:r>
      <w:r w:rsidRPr="00312389">
        <w:rPr>
          <w:rFonts w:ascii="Arial" w:hAnsi="Arial" w:cs="Arial"/>
        </w:rPr>
        <w:t>2009</w:t>
      </w:r>
      <w:r w:rsidR="003D1764" w:rsidRPr="00312389">
        <w:rPr>
          <w:rFonts w:ascii="Arial" w:hAnsi="Arial" w:cs="Arial"/>
        </w:rPr>
        <w:t>)</w:t>
      </w:r>
      <w:r w:rsidRPr="00312389">
        <w:rPr>
          <w:rFonts w:ascii="Arial" w:hAnsi="Arial" w:cs="Arial"/>
        </w:rPr>
        <w:t xml:space="preserve">. </w:t>
      </w:r>
      <w:r w:rsidRPr="008953A7">
        <w:rPr>
          <w:rFonts w:ascii="Arial" w:hAnsi="Arial" w:cs="Arial"/>
          <w:u w:val="single"/>
        </w:rPr>
        <w:t>An exploratory study into IT governance implementations and its impact on business/IT alignment</w:t>
      </w:r>
      <w:r w:rsidRPr="00312389">
        <w:rPr>
          <w:rFonts w:ascii="Arial" w:hAnsi="Arial" w:cs="Arial"/>
        </w:rPr>
        <w:t xml:space="preserve">. </w:t>
      </w:r>
      <w:r w:rsidRPr="00312389">
        <w:rPr>
          <w:rFonts w:ascii="Arial" w:hAnsi="Arial" w:cs="Arial"/>
          <w:i/>
          <w:iCs/>
        </w:rPr>
        <w:t>Information Systems Management</w:t>
      </w:r>
      <w:r w:rsidRPr="00312389">
        <w:rPr>
          <w:rFonts w:ascii="Arial" w:hAnsi="Arial" w:cs="Arial"/>
        </w:rPr>
        <w:t xml:space="preserve">, </w:t>
      </w:r>
      <w:r w:rsidRPr="00312389">
        <w:rPr>
          <w:rFonts w:ascii="Arial" w:hAnsi="Arial" w:cs="Arial"/>
          <w:i/>
          <w:iCs/>
        </w:rPr>
        <w:t>26</w:t>
      </w:r>
      <w:r w:rsidRPr="00312389">
        <w:rPr>
          <w:rFonts w:ascii="Arial" w:hAnsi="Arial" w:cs="Arial"/>
        </w:rPr>
        <w:t>(2), pp.123-137.</w:t>
      </w:r>
    </w:p>
    <w:p w14:paraId="40389618" w14:textId="77777777" w:rsidR="009C4BC1" w:rsidRPr="00312389" w:rsidRDefault="00642D5B" w:rsidP="00D40EBB">
      <w:pPr>
        <w:spacing w:line="480" w:lineRule="auto"/>
        <w:rPr>
          <w:rFonts w:ascii="Arial" w:hAnsi="Arial" w:cs="Arial"/>
        </w:rPr>
      </w:pPr>
      <w:r w:rsidRPr="00312389">
        <w:rPr>
          <w:rFonts w:ascii="Arial" w:hAnsi="Arial" w:cs="Arial"/>
        </w:rPr>
        <w:t xml:space="preserve">De </w:t>
      </w:r>
      <w:proofErr w:type="spellStart"/>
      <w:r w:rsidRPr="00312389">
        <w:rPr>
          <w:rFonts w:ascii="Arial" w:hAnsi="Arial" w:cs="Arial"/>
        </w:rPr>
        <w:t>Haes</w:t>
      </w:r>
      <w:proofErr w:type="spellEnd"/>
      <w:r w:rsidRPr="00312389">
        <w:rPr>
          <w:rFonts w:ascii="Arial" w:hAnsi="Arial" w:cs="Arial"/>
        </w:rPr>
        <w:t xml:space="preserve">, S. and Van </w:t>
      </w:r>
      <w:proofErr w:type="spellStart"/>
      <w:r w:rsidRPr="00312389">
        <w:rPr>
          <w:rFonts w:ascii="Arial" w:hAnsi="Arial" w:cs="Arial"/>
        </w:rPr>
        <w:t>Grembergen</w:t>
      </w:r>
      <w:proofErr w:type="spellEnd"/>
      <w:r w:rsidRPr="00312389">
        <w:rPr>
          <w:rFonts w:ascii="Arial" w:hAnsi="Arial" w:cs="Arial"/>
        </w:rPr>
        <w:t>, W.</w:t>
      </w:r>
      <w:r w:rsidR="003D1764" w:rsidRPr="00312389">
        <w:rPr>
          <w:rFonts w:ascii="Arial" w:hAnsi="Arial" w:cs="Arial"/>
        </w:rPr>
        <w:t xml:space="preserve"> (</w:t>
      </w:r>
      <w:r w:rsidRPr="00312389">
        <w:rPr>
          <w:rFonts w:ascii="Arial" w:hAnsi="Arial" w:cs="Arial"/>
        </w:rPr>
        <w:t>2008</w:t>
      </w:r>
      <w:r w:rsidR="003D1764" w:rsidRPr="00312389">
        <w:rPr>
          <w:rFonts w:ascii="Arial" w:hAnsi="Arial" w:cs="Arial"/>
        </w:rPr>
        <w:t>)</w:t>
      </w:r>
      <w:r w:rsidRPr="00312389">
        <w:rPr>
          <w:rFonts w:ascii="Arial" w:hAnsi="Arial" w:cs="Arial"/>
        </w:rPr>
        <w:t xml:space="preserve">, January. </w:t>
      </w:r>
      <w:r w:rsidRPr="008953A7">
        <w:rPr>
          <w:rFonts w:ascii="Arial" w:hAnsi="Arial" w:cs="Arial"/>
          <w:u w:val="single"/>
        </w:rPr>
        <w:t>Analysing the relationship between IT governance and business/IT alignment maturity</w:t>
      </w:r>
      <w:r w:rsidRPr="00312389">
        <w:rPr>
          <w:rFonts w:ascii="Arial" w:hAnsi="Arial" w:cs="Arial"/>
        </w:rPr>
        <w:t xml:space="preserve">. In </w:t>
      </w:r>
      <w:r w:rsidRPr="00312389">
        <w:rPr>
          <w:rFonts w:ascii="Arial" w:hAnsi="Arial" w:cs="Arial"/>
          <w:i/>
          <w:iCs/>
        </w:rPr>
        <w:t xml:space="preserve">Proceedings of the </w:t>
      </w:r>
      <w:r w:rsidRPr="00312389">
        <w:rPr>
          <w:rFonts w:ascii="Arial" w:hAnsi="Arial" w:cs="Arial"/>
          <w:i/>
          <w:iCs/>
        </w:rPr>
        <w:lastRenderedPageBreak/>
        <w:t>41st Annual Hawaii International Conference on System Sciences (HICSS 2008)</w:t>
      </w:r>
      <w:r w:rsidRPr="00312389">
        <w:rPr>
          <w:rFonts w:ascii="Arial" w:hAnsi="Arial" w:cs="Arial"/>
        </w:rPr>
        <w:t xml:space="preserve"> (pp. 428-428). IEEE.</w:t>
      </w:r>
    </w:p>
    <w:p w14:paraId="39385A09" w14:textId="77777777" w:rsidR="00A84743" w:rsidRPr="00312389" w:rsidRDefault="00A84743" w:rsidP="00D40EBB">
      <w:pPr>
        <w:spacing w:line="480" w:lineRule="auto"/>
        <w:rPr>
          <w:rFonts w:ascii="Arial" w:hAnsi="Arial" w:cs="Arial"/>
        </w:rPr>
      </w:pPr>
      <w:r w:rsidRPr="00312389">
        <w:rPr>
          <w:rFonts w:ascii="Arial" w:hAnsi="Arial" w:cs="Arial"/>
        </w:rPr>
        <w:t xml:space="preserve">De </w:t>
      </w:r>
      <w:proofErr w:type="spellStart"/>
      <w:r w:rsidRPr="00312389">
        <w:rPr>
          <w:rFonts w:ascii="Arial" w:hAnsi="Arial" w:cs="Arial"/>
        </w:rPr>
        <w:t>Haes</w:t>
      </w:r>
      <w:proofErr w:type="spellEnd"/>
      <w:r w:rsidRPr="00312389">
        <w:rPr>
          <w:rFonts w:ascii="Arial" w:hAnsi="Arial" w:cs="Arial"/>
        </w:rPr>
        <w:t xml:space="preserve">, S. and Van </w:t>
      </w:r>
      <w:proofErr w:type="spellStart"/>
      <w:r w:rsidRPr="00312389">
        <w:rPr>
          <w:rFonts w:ascii="Arial" w:hAnsi="Arial" w:cs="Arial"/>
        </w:rPr>
        <w:t>Grembergen</w:t>
      </w:r>
      <w:proofErr w:type="spellEnd"/>
      <w:r w:rsidRPr="00312389">
        <w:rPr>
          <w:rFonts w:ascii="Arial" w:hAnsi="Arial" w:cs="Arial"/>
        </w:rPr>
        <w:t xml:space="preserve">, W. (2006), January. </w:t>
      </w:r>
      <w:r w:rsidRPr="008953A7">
        <w:rPr>
          <w:rFonts w:ascii="Arial" w:hAnsi="Arial" w:cs="Arial"/>
          <w:u w:val="single"/>
        </w:rPr>
        <w:t>Information technology governance best practices in Belgian organisations.</w:t>
      </w:r>
      <w:r w:rsidRPr="00312389">
        <w:rPr>
          <w:rFonts w:ascii="Arial" w:hAnsi="Arial" w:cs="Arial"/>
        </w:rPr>
        <w:t xml:space="preserve"> In </w:t>
      </w:r>
      <w:r w:rsidRPr="00312389">
        <w:rPr>
          <w:rFonts w:ascii="Arial" w:hAnsi="Arial" w:cs="Arial"/>
          <w:i/>
          <w:iCs/>
        </w:rPr>
        <w:t>Proceedings of the 39th Annual Hawaii International Conference on System Sciences (HICSS'06)</w:t>
      </w:r>
      <w:r w:rsidRPr="00312389">
        <w:rPr>
          <w:rFonts w:ascii="Arial" w:hAnsi="Arial" w:cs="Arial"/>
        </w:rPr>
        <w:t xml:space="preserve"> (Vol. 8, pp. 195b-195b). IEEE.</w:t>
      </w:r>
    </w:p>
    <w:p w14:paraId="3845A077" w14:textId="77777777" w:rsidR="00A84743" w:rsidRPr="00312389" w:rsidRDefault="00A84743" w:rsidP="00D40EBB">
      <w:pPr>
        <w:spacing w:line="480" w:lineRule="auto"/>
        <w:rPr>
          <w:rFonts w:ascii="Arial" w:hAnsi="Arial" w:cs="Arial"/>
        </w:rPr>
      </w:pPr>
      <w:r w:rsidRPr="00312389">
        <w:rPr>
          <w:rFonts w:ascii="Arial" w:hAnsi="Arial" w:cs="Arial"/>
        </w:rPr>
        <w:t xml:space="preserve">Delgado, A.P. and </w:t>
      </w:r>
      <w:proofErr w:type="spellStart"/>
      <w:r w:rsidRPr="00312389">
        <w:rPr>
          <w:rFonts w:ascii="Arial" w:hAnsi="Arial" w:cs="Arial"/>
        </w:rPr>
        <w:t>Velthuis</w:t>
      </w:r>
      <w:proofErr w:type="spellEnd"/>
      <w:r w:rsidRPr="00312389">
        <w:rPr>
          <w:rFonts w:ascii="Arial" w:hAnsi="Arial" w:cs="Arial"/>
        </w:rPr>
        <w:t xml:space="preserve">, M.P. (2015). </w:t>
      </w:r>
      <w:r w:rsidRPr="00110DE3">
        <w:rPr>
          <w:rFonts w:ascii="Arial" w:hAnsi="Arial" w:cs="Arial"/>
          <w:u w:val="single"/>
        </w:rPr>
        <w:t>Proposal for a continuous improvement IT governance framework at financial institutions/</w:t>
      </w:r>
      <w:proofErr w:type="spellStart"/>
      <w:r w:rsidRPr="00110DE3">
        <w:rPr>
          <w:rFonts w:ascii="Arial" w:hAnsi="Arial" w:cs="Arial"/>
          <w:u w:val="single"/>
        </w:rPr>
        <w:t>Propuesta</w:t>
      </w:r>
      <w:proofErr w:type="spellEnd"/>
      <w:r w:rsidRPr="00110DE3">
        <w:rPr>
          <w:rFonts w:ascii="Arial" w:hAnsi="Arial" w:cs="Arial"/>
          <w:u w:val="single"/>
        </w:rPr>
        <w:t xml:space="preserve"> de </w:t>
      </w:r>
      <w:proofErr w:type="spellStart"/>
      <w:r w:rsidRPr="00110DE3">
        <w:rPr>
          <w:rFonts w:ascii="Arial" w:hAnsi="Arial" w:cs="Arial"/>
          <w:u w:val="single"/>
        </w:rPr>
        <w:t>marco</w:t>
      </w:r>
      <w:proofErr w:type="spellEnd"/>
      <w:r w:rsidRPr="00110DE3">
        <w:rPr>
          <w:rFonts w:ascii="Arial" w:hAnsi="Arial" w:cs="Arial"/>
          <w:u w:val="single"/>
        </w:rPr>
        <w:t xml:space="preserve"> de </w:t>
      </w:r>
      <w:proofErr w:type="spellStart"/>
      <w:r w:rsidRPr="00110DE3">
        <w:rPr>
          <w:rFonts w:ascii="Arial" w:hAnsi="Arial" w:cs="Arial"/>
          <w:u w:val="single"/>
        </w:rPr>
        <w:t>mejora</w:t>
      </w:r>
      <w:proofErr w:type="spellEnd"/>
      <w:r w:rsidRPr="00110DE3">
        <w:rPr>
          <w:rFonts w:ascii="Arial" w:hAnsi="Arial" w:cs="Arial"/>
          <w:u w:val="single"/>
        </w:rPr>
        <w:t xml:space="preserve"> continua de </w:t>
      </w:r>
      <w:proofErr w:type="spellStart"/>
      <w:r w:rsidRPr="00110DE3">
        <w:rPr>
          <w:rFonts w:ascii="Arial" w:hAnsi="Arial" w:cs="Arial"/>
          <w:u w:val="single"/>
        </w:rPr>
        <w:t>gobierno</w:t>
      </w:r>
      <w:proofErr w:type="spellEnd"/>
      <w:r w:rsidRPr="00110DE3">
        <w:rPr>
          <w:rFonts w:ascii="Arial" w:hAnsi="Arial" w:cs="Arial"/>
          <w:u w:val="single"/>
        </w:rPr>
        <w:t xml:space="preserve"> TI </w:t>
      </w:r>
      <w:proofErr w:type="spellStart"/>
      <w:r w:rsidRPr="00110DE3">
        <w:rPr>
          <w:rFonts w:ascii="Arial" w:hAnsi="Arial" w:cs="Arial"/>
          <w:u w:val="single"/>
        </w:rPr>
        <w:t>en</w:t>
      </w:r>
      <w:proofErr w:type="spellEnd"/>
      <w:r w:rsidRPr="00110DE3">
        <w:rPr>
          <w:rFonts w:ascii="Arial" w:hAnsi="Arial" w:cs="Arial"/>
          <w:u w:val="single"/>
        </w:rPr>
        <w:t xml:space="preserve"> </w:t>
      </w:r>
      <w:proofErr w:type="spellStart"/>
      <w:r w:rsidRPr="00110DE3">
        <w:rPr>
          <w:rFonts w:ascii="Arial" w:hAnsi="Arial" w:cs="Arial"/>
          <w:u w:val="single"/>
        </w:rPr>
        <w:t>entidades</w:t>
      </w:r>
      <w:proofErr w:type="spellEnd"/>
      <w:r w:rsidRPr="00110DE3">
        <w:rPr>
          <w:rFonts w:ascii="Arial" w:hAnsi="Arial" w:cs="Arial"/>
          <w:u w:val="single"/>
        </w:rPr>
        <w:t xml:space="preserve"> </w:t>
      </w:r>
      <w:proofErr w:type="spellStart"/>
      <w:r w:rsidRPr="00110DE3">
        <w:rPr>
          <w:rFonts w:ascii="Arial" w:hAnsi="Arial" w:cs="Arial"/>
          <w:u w:val="single"/>
        </w:rPr>
        <w:t>financieras</w:t>
      </w:r>
      <w:proofErr w:type="spellEnd"/>
      <w:r w:rsidRPr="00312389">
        <w:rPr>
          <w:rFonts w:ascii="Arial" w:hAnsi="Arial" w:cs="Arial"/>
        </w:rPr>
        <w:t>. ​</w:t>
      </w:r>
      <w:r w:rsidRPr="00312389">
        <w:rPr>
          <w:rFonts w:ascii="Arial" w:hAnsi="Arial" w:cs="Arial"/>
          <w:i/>
        </w:rPr>
        <w:t>RISTI (</w:t>
      </w:r>
      <w:proofErr w:type="spellStart"/>
      <w:r w:rsidRPr="00312389">
        <w:rPr>
          <w:rFonts w:ascii="Arial" w:hAnsi="Arial" w:cs="Arial"/>
          <w:i/>
        </w:rPr>
        <w:t>Revista</w:t>
      </w:r>
      <w:proofErr w:type="spellEnd"/>
      <w:r w:rsidRPr="00312389">
        <w:rPr>
          <w:rFonts w:ascii="Arial" w:hAnsi="Arial" w:cs="Arial"/>
          <w:i/>
        </w:rPr>
        <w:t xml:space="preserve"> </w:t>
      </w:r>
      <w:proofErr w:type="spellStart"/>
      <w:r w:rsidRPr="00312389">
        <w:rPr>
          <w:rFonts w:ascii="Arial" w:hAnsi="Arial" w:cs="Arial"/>
          <w:i/>
        </w:rPr>
        <w:t>Iberica</w:t>
      </w:r>
      <w:proofErr w:type="spellEnd"/>
      <w:r w:rsidRPr="00312389">
        <w:rPr>
          <w:rFonts w:ascii="Arial" w:hAnsi="Arial" w:cs="Arial"/>
          <w:i/>
        </w:rPr>
        <w:t xml:space="preserve"> de </w:t>
      </w:r>
      <w:proofErr w:type="spellStart"/>
      <w:r w:rsidRPr="00312389">
        <w:rPr>
          <w:rFonts w:ascii="Arial" w:hAnsi="Arial" w:cs="Arial"/>
          <w:i/>
        </w:rPr>
        <w:t>Sistemas</w:t>
      </w:r>
      <w:proofErr w:type="spellEnd"/>
      <w:r w:rsidRPr="00312389">
        <w:rPr>
          <w:rFonts w:ascii="Arial" w:hAnsi="Arial" w:cs="Arial"/>
          <w:i/>
        </w:rPr>
        <w:t xml:space="preserve"> e </w:t>
      </w:r>
      <w:proofErr w:type="spellStart"/>
      <w:r w:rsidRPr="00312389">
        <w:rPr>
          <w:rFonts w:ascii="Arial" w:hAnsi="Arial" w:cs="Arial"/>
          <w:i/>
        </w:rPr>
        <w:t>Tecnologias</w:t>
      </w:r>
      <w:proofErr w:type="spellEnd"/>
      <w:r w:rsidRPr="00312389">
        <w:rPr>
          <w:rFonts w:ascii="Arial" w:hAnsi="Arial" w:cs="Arial"/>
          <w:i/>
        </w:rPr>
        <w:t xml:space="preserve"> de </w:t>
      </w:r>
      <w:proofErr w:type="spellStart"/>
      <w:r w:rsidRPr="00312389">
        <w:rPr>
          <w:rFonts w:ascii="Arial" w:hAnsi="Arial" w:cs="Arial"/>
          <w:i/>
        </w:rPr>
        <w:t>Informacao</w:t>
      </w:r>
      <w:proofErr w:type="spellEnd"/>
      <w:r w:rsidRPr="00312389">
        <w:rPr>
          <w:rFonts w:ascii="Arial" w:hAnsi="Arial" w:cs="Arial"/>
          <w:i/>
        </w:rPr>
        <w:t>)</w:t>
      </w:r>
      <w:r w:rsidRPr="00312389">
        <w:rPr>
          <w:rFonts w:ascii="Arial" w:hAnsi="Arial" w:cs="Arial"/>
        </w:rPr>
        <w:t>​, (15), pp.51-68.</w:t>
      </w:r>
    </w:p>
    <w:p w14:paraId="7F9784B7" w14:textId="77777777" w:rsidR="00A84743" w:rsidRPr="00312389" w:rsidRDefault="009C4BC1" w:rsidP="00D40EBB">
      <w:pPr>
        <w:spacing w:line="480" w:lineRule="auto"/>
        <w:rPr>
          <w:rFonts w:ascii="Arial" w:hAnsi="Arial" w:cs="Arial"/>
        </w:rPr>
      </w:pPr>
      <w:proofErr w:type="spellStart"/>
      <w:r w:rsidRPr="00312389">
        <w:rPr>
          <w:rFonts w:ascii="Arial" w:hAnsi="Arial" w:cs="Arial"/>
        </w:rPr>
        <w:t>D’Elia</w:t>
      </w:r>
      <w:proofErr w:type="spellEnd"/>
      <w:r w:rsidRPr="00312389">
        <w:rPr>
          <w:rFonts w:ascii="Arial" w:hAnsi="Arial" w:cs="Arial"/>
        </w:rPr>
        <w:t xml:space="preserve">, D. (2018). </w:t>
      </w:r>
      <w:r w:rsidRPr="00110DE3">
        <w:rPr>
          <w:rFonts w:ascii="Arial" w:hAnsi="Arial" w:cs="Arial"/>
          <w:u w:val="single"/>
        </w:rPr>
        <w:t>Industrial policy: the holy grail of French cybersecurity strategy?.</w:t>
      </w:r>
      <w:r w:rsidRPr="00312389">
        <w:rPr>
          <w:rFonts w:ascii="Arial" w:hAnsi="Arial" w:cs="Arial"/>
        </w:rPr>
        <w:t xml:space="preserve"> </w:t>
      </w:r>
      <w:r w:rsidRPr="00312389">
        <w:rPr>
          <w:rFonts w:ascii="Arial" w:hAnsi="Arial" w:cs="Arial"/>
          <w:i/>
        </w:rPr>
        <w:t>Journal of Cyber Policy</w:t>
      </w:r>
      <w:r w:rsidRPr="00312389">
        <w:rPr>
          <w:rFonts w:ascii="Arial" w:hAnsi="Arial" w:cs="Arial"/>
        </w:rPr>
        <w:t xml:space="preserve">​​, </w:t>
      </w:r>
      <w:r w:rsidRPr="00312389">
        <w:rPr>
          <w:rFonts w:ascii="Arial" w:hAnsi="Arial" w:cs="Arial"/>
          <w:i/>
        </w:rPr>
        <w:t>3</w:t>
      </w:r>
      <w:r w:rsidRPr="00312389">
        <w:rPr>
          <w:rFonts w:ascii="Arial" w:hAnsi="Arial" w:cs="Arial"/>
        </w:rPr>
        <w:t>​ ​(3), pp.385-406.</w:t>
      </w:r>
    </w:p>
    <w:p w14:paraId="2B60F744" w14:textId="77777777" w:rsidR="002C0681" w:rsidRPr="00312389" w:rsidRDefault="00A84743" w:rsidP="00D40EBB">
      <w:pPr>
        <w:spacing w:line="480" w:lineRule="auto"/>
        <w:rPr>
          <w:rFonts w:ascii="Arial" w:hAnsi="Arial" w:cs="Arial"/>
        </w:rPr>
      </w:pPr>
      <w:r w:rsidRPr="00312389">
        <w:rPr>
          <w:rFonts w:ascii="Arial" w:hAnsi="Arial" w:cs="Arial"/>
        </w:rPr>
        <w:t xml:space="preserve">de Mingo, A.C. and </w:t>
      </w:r>
      <w:proofErr w:type="spellStart"/>
      <w:r w:rsidRPr="00312389">
        <w:rPr>
          <w:rFonts w:ascii="Arial" w:hAnsi="Arial" w:cs="Arial"/>
        </w:rPr>
        <w:t>Cerrillo-i-Martínez</w:t>
      </w:r>
      <w:proofErr w:type="spellEnd"/>
      <w:r w:rsidRPr="00312389">
        <w:rPr>
          <w:rFonts w:ascii="Arial" w:hAnsi="Arial" w:cs="Arial"/>
        </w:rPr>
        <w:t xml:space="preserve">, A. (2018). </w:t>
      </w:r>
      <w:r w:rsidRPr="00110DE3">
        <w:rPr>
          <w:rFonts w:ascii="Arial" w:hAnsi="Arial" w:cs="Arial"/>
          <w:u w:val="single"/>
        </w:rPr>
        <w:t>Improving records management to promote transparency and prevent corruption</w:t>
      </w:r>
      <w:r w:rsidRPr="00312389">
        <w:rPr>
          <w:rFonts w:ascii="Arial" w:hAnsi="Arial" w:cs="Arial"/>
        </w:rPr>
        <w:t>. ​</w:t>
      </w:r>
      <w:r w:rsidRPr="00312389">
        <w:rPr>
          <w:rFonts w:ascii="Arial" w:hAnsi="Arial" w:cs="Arial"/>
          <w:i/>
        </w:rPr>
        <w:t>International Journal of Information Management</w:t>
      </w:r>
      <w:r w:rsidRPr="00312389">
        <w:rPr>
          <w:rFonts w:ascii="Arial" w:hAnsi="Arial" w:cs="Arial"/>
        </w:rPr>
        <w:t>​, ​</w:t>
      </w:r>
      <w:r w:rsidRPr="00312389">
        <w:rPr>
          <w:rFonts w:ascii="Arial" w:hAnsi="Arial" w:cs="Arial"/>
          <w:i/>
        </w:rPr>
        <w:t>38</w:t>
      </w:r>
      <w:r w:rsidRPr="00312389">
        <w:rPr>
          <w:rFonts w:ascii="Arial" w:hAnsi="Arial" w:cs="Arial"/>
        </w:rPr>
        <w:t>​(1), pp.256-261.</w:t>
      </w:r>
    </w:p>
    <w:p w14:paraId="3ACC5CCD" w14:textId="352090F0" w:rsidR="002C0681" w:rsidRPr="00312389" w:rsidRDefault="002C0681" w:rsidP="00D40EBB">
      <w:pPr>
        <w:spacing w:line="480" w:lineRule="auto"/>
        <w:rPr>
          <w:rFonts w:ascii="Arial" w:hAnsi="Arial" w:cs="Arial"/>
        </w:rPr>
      </w:pPr>
      <w:proofErr w:type="spellStart"/>
      <w:r w:rsidRPr="00312389">
        <w:rPr>
          <w:rFonts w:ascii="Arial" w:hAnsi="Arial" w:cs="Arial"/>
        </w:rPr>
        <w:t>Denzin</w:t>
      </w:r>
      <w:proofErr w:type="spellEnd"/>
      <w:r w:rsidRPr="00312389">
        <w:rPr>
          <w:rFonts w:ascii="Arial" w:hAnsi="Arial" w:cs="Arial"/>
        </w:rPr>
        <w:t>, N.K. and Lincoln, Y.S. eds. (2011). </w:t>
      </w:r>
      <w:r w:rsidRPr="007C6477">
        <w:rPr>
          <w:rFonts w:ascii="Arial" w:hAnsi="Arial" w:cs="Arial"/>
          <w:i/>
          <w:iCs/>
          <w:u w:val="single"/>
        </w:rPr>
        <w:t>The Sage handbook of qualitative research</w:t>
      </w:r>
      <w:r w:rsidRPr="00312389">
        <w:rPr>
          <w:rFonts w:ascii="Arial" w:hAnsi="Arial" w:cs="Arial"/>
        </w:rPr>
        <w:t>. London: Sage.</w:t>
      </w:r>
    </w:p>
    <w:p w14:paraId="75607CC0" w14:textId="77777777" w:rsidR="00A84743" w:rsidRPr="00312389" w:rsidRDefault="00642D5B" w:rsidP="00D40EBB">
      <w:pPr>
        <w:spacing w:line="480" w:lineRule="auto"/>
        <w:rPr>
          <w:rFonts w:ascii="Arial" w:hAnsi="Arial" w:cs="Arial"/>
        </w:rPr>
      </w:pPr>
      <w:proofErr w:type="spellStart"/>
      <w:r w:rsidRPr="00312389">
        <w:rPr>
          <w:rFonts w:ascii="Arial" w:hAnsi="Arial" w:cs="Arial"/>
        </w:rPr>
        <w:t>Devos</w:t>
      </w:r>
      <w:proofErr w:type="spellEnd"/>
      <w:r w:rsidRPr="00312389">
        <w:rPr>
          <w:rFonts w:ascii="Arial" w:hAnsi="Arial" w:cs="Arial"/>
        </w:rPr>
        <w:t xml:space="preserve">, J., Van </w:t>
      </w:r>
      <w:proofErr w:type="spellStart"/>
      <w:r w:rsidRPr="00312389">
        <w:rPr>
          <w:rFonts w:ascii="Arial" w:hAnsi="Arial" w:cs="Arial"/>
        </w:rPr>
        <w:t>Landeghem</w:t>
      </w:r>
      <w:proofErr w:type="spellEnd"/>
      <w:r w:rsidRPr="00312389">
        <w:rPr>
          <w:rFonts w:ascii="Arial" w:hAnsi="Arial" w:cs="Arial"/>
        </w:rPr>
        <w:t xml:space="preserve">, H. and </w:t>
      </w:r>
      <w:proofErr w:type="spellStart"/>
      <w:r w:rsidRPr="00312389">
        <w:rPr>
          <w:rFonts w:ascii="Arial" w:hAnsi="Arial" w:cs="Arial"/>
        </w:rPr>
        <w:t>Deschoolmeester</w:t>
      </w:r>
      <w:proofErr w:type="spellEnd"/>
      <w:r w:rsidRPr="00312389">
        <w:rPr>
          <w:rFonts w:ascii="Arial" w:hAnsi="Arial" w:cs="Arial"/>
        </w:rPr>
        <w:t>, D.</w:t>
      </w:r>
      <w:r w:rsidR="003D1764" w:rsidRPr="00312389">
        <w:rPr>
          <w:rFonts w:ascii="Arial" w:hAnsi="Arial" w:cs="Arial"/>
        </w:rPr>
        <w:t xml:space="preserve"> (</w:t>
      </w:r>
      <w:r w:rsidRPr="00312389">
        <w:rPr>
          <w:rFonts w:ascii="Arial" w:hAnsi="Arial" w:cs="Arial"/>
        </w:rPr>
        <w:t>2012</w:t>
      </w:r>
      <w:r w:rsidR="003D1764" w:rsidRPr="00312389">
        <w:rPr>
          <w:rFonts w:ascii="Arial" w:hAnsi="Arial" w:cs="Arial"/>
        </w:rPr>
        <w:t>)</w:t>
      </w:r>
      <w:r w:rsidRPr="00312389">
        <w:rPr>
          <w:rFonts w:ascii="Arial" w:hAnsi="Arial" w:cs="Arial"/>
        </w:rPr>
        <w:t xml:space="preserve">. </w:t>
      </w:r>
      <w:r w:rsidRPr="007C6477">
        <w:rPr>
          <w:rFonts w:ascii="Arial" w:hAnsi="Arial" w:cs="Arial"/>
          <w:u w:val="single"/>
        </w:rPr>
        <w:t>Rethinking IT governance for SMEs.</w:t>
      </w:r>
      <w:r w:rsidRPr="00312389">
        <w:rPr>
          <w:rFonts w:ascii="Arial" w:hAnsi="Arial" w:cs="Arial"/>
        </w:rPr>
        <w:t> </w:t>
      </w:r>
      <w:r w:rsidRPr="00312389">
        <w:rPr>
          <w:rFonts w:ascii="Arial" w:hAnsi="Arial" w:cs="Arial"/>
          <w:i/>
          <w:iCs/>
        </w:rPr>
        <w:t>Industrial Management &amp; Data Systems</w:t>
      </w:r>
      <w:r w:rsidRPr="00312389">
        <w:rPr>
          <w:rFonts w:ascii="Arial" w:hAnsi="Arial" w:cs="Arial"/>
        </w:rPr>
        <w:t>, </w:t>
      </w:r>
      <w:r w:rsidRPr="00312389">
        <w:rPr>
          <w:rFonts w:ascii="Arial" w:hAnsi="Arial" w:cs="Arial"/>
          <w:i/>
          <w:iCs/>
        </w:rPr>
        <w:t>112</w:t>
      </w:r>
      <w:r w:rsidRPr="00312389">
        <w:rPr>
          <w:rFonts w:ascii="Arial" w:hAnsi="Arial" w:cs="Arial"/>
        </w:rPr>
        <w:t>(2), pp.206-223.</w:t>
      </w:r>
    </w:p>
    <w:p w14:paraId="48A9C205" w14:textId="06C036C5" w:rsidR="00A84743" w:rsidRPr="00312389" w:rsidRDefault="00A84743" w:rsidP="00D40EBB">
      <w:pPr>
        <w:spacing w:line="480" w:lineRule="auto"/>
        <w:rPr>
          <w:rFonts w:ascii="Arial" w:hAnsi="Arial" w:cs="Arial"/>
        </w:rPr>
      </w:pPr>
      <w:r w:rsidRPr="00312389">
        <w:rPr>
          <w:rFonts w:ascii="Arial" w:hAnsi="Arial" w:cs="Arial"/>
        </w:rPr>
        <w:t xml:space="preserve">Doyle, P. (1989). </w:t>
      </w:r>
      <w:r w:rsidRPr="007C6477">
        <w:rPr>
          <w:rFonts w:ascii="Arial" w:hAnsi="Arial" w:cs="Arial"/>
          <w:u w:val="single"/>
        </w:rPr>
        <w:t>Markets and innovation</w:t>
      </w:r>
      <w:r w:rsidRPr="00312389">
        <w:rPr>
          <w:rFonts w:ascii="Arial" w:hAnsi="Arial" w:cs="Arial"/>
        </w:rPr>
        <w:t>. ​</w:t>
      </w:r>
      <w:r w:rsidRPr="00312389">
        <w:rPr>
          <w:rFonts w:ascii="Arial" w:hAnsi="Arial" w:cs="Arial"/>
          <w:i/>
        </w:rPr>
        <w:t>European Management Journal</w:t>
      </w:r>
      <w:r w:rsidRPr="00312389">
        <w:rPr>
          <w:rFonts w:ascii="Arial" w:hAnsi="Arial" w:cs="Arial"/>
        </w:rPr>
        <w:t>​, ​</w:t>
      </w:r>
      <w:r w:rsidRPr="00312389">
        <w:rPr>
          <w:rFonts w:ascii="Arial" w:hAnsi="Arial" w:cs="Arial"/>
          <w:i/>
        </w:rPr>
        <w:t>7</w:t>
      </w:r>
      <w:r w:rsidRPr="00312389">
        <w:rPr>
          <w:rFonts w:ascii="Arial" w:hAnsi="Arial" w:cs="Arial"/>
        </w:rPr>
        <w:t>​(4), pp.413-421.</w:t>
      </w:r>
    </w:p>
    <w:p w14:paraId="2CCC0E5D" w14:textId="77777777" w:rsidR="00BF1A5E" w:rsidRPr="00312389" w:rsidRDefault="00BF1A5E" w:rsidP="00D40EBB">
      <w:pPr>
        <w:spacing w:line="480" w:lineRule="auto"/>
        <w:rPr>
          <w:rFonts w:ascii="Arial" w:hAnsi="Arial" w:cs="Arial"/>
        </w:rPr>
      </w:pPr>
      <w:proofErr w:type="spellStart"/>
      <w:r w:rsidRPr="00312389">
        <w:rPr>
          <w:rFonts w:ascii="Arial" w:hAnsi="Arial" w:cs="Arial"/>
        </w:rPr>
        <w:lastRenderedPageBreak/>
        <w:t>Dwivedi</w:t>
      </w:r>
      <w:proofErr w:type="spellEnd"/>
      <w:r w:rsidRPr="00312389">
        <w:rPr>
          <w:rFonts w:ascii="Arial" w:hAnsi="Arial" w:cs="Arial"/>
        </w:rPr>
        <w:t xml:space="preserve">, Y.K., </w:t>
      </w:r>
      <w:proofErr w:type="spellStart"/>
      <w:r w:rsidRPr="00312389">
        <w:rPr>
          <w:rFonts w:ascii="Arial" w:hAnsi="Arial" w:cs="Arial"/>
        </w:rPr>
        <w:t>Wastell</w:t>
      </w:r>
      <w:proofErr w:type="spellEnd"/>
      <w:r w:rsidRPr="00312389">
        <w:rPr>
          <w:rFonts w:ascii="Arial" w:hAnsi="Arial" w:cs="Arial"/>
        </w:rPr>
        <w:t xml:space="preserve">, D., </w:t>
      </w:r>
      <w:proofErr w:type="spellStart"/>
      <w:r w:rsidRPr="00312389">
        <w:rPr>
          <w:rFonts w:ascii="Arial" w:hAnsi="Arial" w:cs="Arial"/>
        </w:rPr>
        <w:t>Laumer</w:t>
      </w:r>
      <w:proofErr w:type="spellEnd"/>
      <w:r w:rsidRPr="00312389">
        <w:rPr>
          <w:rFonts w:ascii="Arial" w:hAnsi="Arial" w:cs="Arial"/>
        </w:rPr>
        <w:t xml:space="preserve">, S., </w:t>
      </w:r>
      <w:proofErr w:type="spellStart"/>
      <w:r w:rsidRPr="00312389">
        <w:rPr>
          <w:rFonts w:ascii="Arial" w:hAnsi="Arial" w:cs="Arial"/>
        </w:rPr>
        <w:t>Henriksen</w:t>
      </w:r>
      <w:proofErr w:type="spellEnd"/>
      <w:r w:rsidRPr="00312389">
        <w:rPr>
          <w:rFonts w:ascii="Arial" w:hAnsi="Arial" w:cs="Arial"/>
        </w:rPr>
        <w:t xml:space="preserve">, H.Z., Myers, M.D., Bunker, D., </w:t>
      </w:r>
      <w:proofErr w:type="spellStart"/>
      <w:r w:rsidRPr="00312389">
        <w:rPr>
          <w:rFonts w:ascii="Arial" w:hAnsi="Arial" w:cs="Arial"/>
        </w:rPr>
        <w:t>Elbanna</w:t>
      </w:r>
      <w:proofErr w:type="spellEnd"/>
      <w:r w:rsidRPr="00312389">
        <w:rPr>
          <w:rFonts w:ascii="Arial" w:hAnsi="Arial" w:cs="Arial"/>
        </w:rPr>
        <w:t xml:space="preserve">, A., </w:t>
      </w:r>
      <w:proofErr w:type="spellStart"/>
      <w:r w:rsidRPr="00312389">
        <w:rPr>
          <w:rFonts w:ascii="Arial" w:hAnsi="Arial" w:cs="Arial"/>
        </w:rPr>
        <w:t>Ravishankar</w:t>
      </w:r>
      <w:proofErr w:type="spellEnd"/>
      <w:r w:rsidRPr="00312389">
        <w:rPr>
          <w:rFonts w:ascii="Arial" w:hAnsi="Arial" w:cs="Arial"/>
        </w:rPr>
        <w:t xml:space="preserve">, M.N. and Srivastava, S.C. (2015). </w:t>
      </w:r>
      <w:r w:rsidRPr="007C6477">
        <w:rPr>
          <w:rFonts w:ascii="Arial" w:hAnsi="Arial" w:cs="Arial"/>
          <w:u w:val="single"/>
        </w:rPr>
        <w:t>Research on information systems failures and successes: Status update and future directions</w:t>
      </w:r>
      <w:r w:rsidRPr="00312389">
        <w:rPr>
          <w:rFonts w:ascii="Arial" w:hAnsi="Arial" w:cs="Arial"/>
        </w:rPr>
        <w:t>. </w:t>
      </w:r>
      <w:r w:rsidRPr="00312389">
        <w:rPr>
          <w:rFonts w:ascii="Arial" w:hAnsi="Arial" w:cs="Arial"/>
          <w:i/>
          <w:iCs/>
        </w:rPr>
        <w:t>Information Systems Frontiers</w:t>
      </w:r>
      <w:r w:rsidRPr="00312389">
        <w:rPr>
          <w:rFonts w:ascii="Arial" w:hAnsi="Arial" w:cs="Arial"/>
        </w:rPr>
        <w:t>, </w:t>
      </w:r>
      <w:r w:rsidRPr="00312389">
        <w:rPr>
          <w:rFonts w:ascii="Arial" w:hAnsi="Arial" w:cs="Arial"/>
          <w:i/>
          <w:iCs/>
        </w:rPr>
        <w:t>17</w:t>
      </w:r>
      <w:r w:rsidRPr="00312389">
        <w:rPr>
          <w:rFonts w:ascii="Arial" w:hAnsi="Arial" w:cs="Arial"/>
        </w:rPr>
        <w:t>(1), pp.143-157.</w:t>
      </w:r>
    </w:p>
    <w:p w14:paraId="4B5873CC" w14:textId="4A77C9F7" w:rsidR="00A84743" w:rsidRPr="00312389" w:rsidRDefault="00A84743" w:rsidP="00D40EBB">
      <w:pPr>
        <w:spacing w:line="480" w:lineRule="auto"/>
        <w:rPr>
          <w:rFonts w:ascii="Arial" w:hAnsi="Arial" w:cs="Arial"/>
        </w:rPr>
      </w:pPr>
      <w:proofErr w:type="spellStart"/>
      <w:r w:rsidRPr="00312389">
        <w:rPr>
          <w:rFonts w:ascii="Arial" w:hAnsi="Arial" w:cs="Arial"/>
        </w:rPr>
        <w:t>Eastin</w:t>
      </w:r>
      <w:proofErr w:type="spellEnd"/>
      <w:r w:rsidRPr="00312389">
        <w:rPr>
          <w:rFonts w:ascii="Arial" w:hAnsi="Arial" w:cs="Arial"/>
        </w:rPr>
        <w:t xml:space="preserve">, M.S., Brinson, N.H., </w:t>
      </w:r>
      <w:proofErr w:type="spellStart"/>
      <w:r w:rsidRPr="00312389">
        <w:rPr>
          <w:rFonts w:ascii="Arial" w:hAnsi="Arial" w:cs="Arial"/>
        </w:rPr>
        <w:t>Doorey</w:t>
      </w:r>
      <w:proofErr w:type="spellEnd"/>
      <w:r w:rsidRPr="00312389">
        <w:rPr>
          <w:rFonts w:ascii="Arial" w:hAnsi="Arial" w:cs="Arial"/>
        </w:rPr>
        <w:t xml:space="preserve">, A. and Wilcox, G. (2016). </w:t>
      </w:r>
      <w:r w:rsidRPr="007C6477">
        <w:rPr>
          <w:rFonts w:ascii="Arial" w:hAnsi="Arial" w:cs="Arial"/>
          <w:u w:val="single"/>
        </w:rPr>
        <w:t>Living in a big data world: Predicting mobile commerce activity through privacy concerns</w:t>
      </w:r>
      <w:r w:rsidRPr="00312389">
        <w:rPr>
          <w:rFonts w:ascii="Arial" w:hAnsi="Arial" w:cs="Arial"/>
        </w:rPr>
        <w:t>. ​</w:t>
      </w:r>
      <w:r w:rsidRPr="00312389">
        <w:rPr>
          <w:rFonts w:ascii="Arial" w:hAnsi="Arial" w:cs="Arial"/>
          <w:i/>
        </w:rPr>
        <w:t xml:space="preserve">Computers in Human </w:t>
      </w:r>
      <w:proofErr w:type="spellStart"/>
      <w:r w:rsidRPr="00312389">
        <w:rPr>
          <w:rFonts w:ascii="Arial" w:hAnsi="Arial" w:cs="Arial"/>
          <w:i/>
        </w:rPr>
        <w:t>Behavior</w:t>
      </w:r>
      <w:proofErr w:type="spellEnd"/>
      <w:r w:rsidRPr="00312389">
        <w:rPr>
          <w:rFonts w:ascii="Arial" w:hAnsi="Arial" w:cs="Arial"/>
        </w:rPr>
        <w:t>​, ​</w:t>
      </w:r>
      <w:r w:rsidRPr="00312389">
        <w:rPr>
          <w:rFonts w:ascii="Arial" w:hAnsi="Arial" w:cs="Arial"/>
          <w:i/>
        </w:rPr>
        <w:t>58</w:t>
      </w:r>
      <w:r w:rsidRPr="00312389">
        <w:rPr>
          <w:rFonts w:ascii="Arial" w:hAnsi="Arial" w:cs="Arial"/>
        </w:rPr>
        <w:t>​, pp.214-220.</w:t>
      </w:r>
    </w:p>
    <w:p w14:paraId="4123D0D9" w14:textId="77777777" w:rsidR="00BF1A5E" w:rsidRPr="00312389" w:rsidRDefault="00BF1A5E" w:rsidP="00D40EBB">
      <w:pPr>
        <w:spacing w:line="480" w:lineRule="auto"/>
        <w:rPr>
          <w:rFonts w:ascii="Arial" w:hAnsi="Arial" w:cs="Arial"/>
        </w:rPr>
      </w:pPr>
      <w:r w:rsidRPr="00312389">
        <w:rPr>
          <w:rFonts w:ascii="Arial" w:hAnsi="Arial" w:cs="Arial"/>
        </w:rPr>
        <w:t xml:space="preserve">Edelman, S. (2016). </w:t>
      </w:r>
      <w:r w:rsidRPr="00F07C90">
        <w:rPr>
          <w:rFonts w:ascii="Arial" w:hAnsi="Arial" w:cs="Arial"/>
          <w:u w:val="single"/>
        </w:rPr>
        <w:t>The minority report: some common assumptions to reconsider in the modelling of the brain and behaviour</w:t>
      </w:r>
      <w:r w:rsidRPr="00312389">
        <w:rPr>
          <w:rFonts w:ascii="Arial" w:hAnsi="Arial" w:cs="Arial"/>
        </w:rPr>
        <w:t>. </w:t>
      </w:r>
      <w:r w:rsidRPr="00312389">
        <w:rPr>
          <w:rFonts w:ascii="Arial" w:hAnsi="Arial" w:cs="Arial"/>
          <w:i/>
          <w:iCs/>
        </w:rPr>
        <w:t>Journal of Experimental &amp; Theoretical Artificial Intelligence</w:t>
      </w:r>
      <w:r w:rsidRPr="00312389">
        <w:rPr>
          <w:rFonts w:ascii="Arial" w:hAnsi="Arial" w:cs="Arial"/>
        </w:rPr>
        <w:t>, </w:t>
      </w:r>
      <w:r w:rsidRPr="00312389">
        <w:rPr>
          <w:rFonts w:ascii="Arial" w:hAnsi="Arial" w:cs="Arial"/>
          <w:i/>
          <w:iCs/>
        </w:rPr>
        <w:t>28</w:t>
      </w:r>
      <w:r w:rsidRPr="00312389">
        <w:rPr>
          <w:rFonts w:ascii="Arial" w:hAnsi="Arial" w:cs="Arial"/>
        </w:rPr>
        <w:t>(4), pp.751-776.</w:t>
      </w:r>
    </w:p>
    <w:p w14:paraId="1754764F" w14:textId="089B5D56" w:rsidR="00642D5B" w:rsidRPr="00312389" w:rsidRDefault="00642D5B" w:rsidP="00D40EBB">
      <w:pPr>
        <w:spacing w:line="480" w:lineRule="auto"/>
        <w:rPr>
          <w:rFonts w:ascii="Arial" w:hAnsi="Arial" w:cs="Arial"/>
        </w:rPr>
      </w:pPr>
      <w:proofErr w:type="spellStart"/>
      <w:r w:rsidRPr="00312389">
        <w:rPr>
          <w:rFonts w:ascii="Arial" w:hAnsi="Arial" w:cs="Arial"/>
        </w:rPr>
        <w:t>Emmersen</w:t>
      </w:r>
      <w:proofErr w:type="spellEnd"/>
      <w:r w:rsidRPr="00312389">
        <w:rPr>
          <w:rFonts w:ascii="Arial" w:hAnsi="Arial" w:cs="Arial"/>
        </w:rPr>
        <w:t xml:space="preserve">, T., Hatfield, J.M., </w:t>
      </w:r>
      <w:proofErr w:type="spellStart"/>
      <w:r w:rsidRPr="00312389">
        <w:rPr>
          <w:rFonts w:ascii="Arial" w:hAnsi="Arial" w:cs="Arial"/>
        </w:rPr>
        <w:t>Kosseff</w:t>
      </w:r>
      <w:proofErr w:type="spellEnd"/>
      <w:r w:rsidRPr="00312389">
        <w:rPr>
          <w:rFonts w:ascii="Arial" w:hAnsi="Arial" w:cs="Arial"/>
        </w:rPr>
        <w:t>, J. and Orr IV, S.R.</w:t>
      </w:r>
      <w:r w:rsidR="003D1764" w:rsidRPr="00312389">
        <w:rPr>
          <w:rFonts w:ascii="Arial" w:hAnsi="Arial" w:cs="Arial"/>
        </w:rPr>
        <w:t xml:space="preserve"> (</w:t>
      </w:r>
      <w:r w:rsidRPr="00312389">
        <w:rPr>
          <w:rFonts w:ascii="Arial" w:hAnsi="Arial" w:cs="Arial"/>
        </w:rPr>
        <w:t>2019</w:t>
      </w:r>
      <w:r w:rsidR="003D1764" w:rsidRPr="00312389">
        <w:rPr>
          <w:rFonts w:ascii="Arial" w:hAnsi="Arial" w:cs="Arial"/>
        </w:rPr>
        <w:t>)</w:t>
      </w:r>
      <w:r w:rsidRPr="00312389">
        <w:rPr>
          <w:rFonts w:ascii="Arial" w:hAnsi="Arial" w:cs="Arial"/>
        </w:rPr>
        <w:t xml:space="preserve">. </w:t>
      </w:r>
      <w:r w:rsidRPr="00F07C90">
        <w:rPr>
          <w:rFonts w:ascii="Arial" w:hAnsi="Arial" w:cs="Arial"/>
          <w:u w:val="single"/>
        </w:rPr>
        <w:t>The USNA's Interdisciplinary Approach to Cybersecurity Education</w:t>
      </w:r>
      <w:r w:rsidRPr="00312389">
        <w:rPr>
          <w:rFonts w:ascii="Arial" w:hAnsi="Arial" w:cs="Arial"/>
        </w:rPr>
        <w:t>. </w:t>
      </w:r>
      <w:r w:rsidRPr="00312389">
        <w:rPr>
          <w:rFonts w:ascii="Arial" w:hAnsi="Arial" w:cs="Arial"/>
          <w:i/>
          <w:iCs/>
        </w:rPr>
        <w:t>Computer</w:t>
      </w:r>
      <w:r w:rsidRPr="00312389">
        <w:rPr>
          <w:rFonts w:ascii="Arial" w:hAnsi="Arial" w:cs="Arial"/>
        </w:rPr>
        <w:t>, </w:t>
      </w:r>
      <w:r w:rsidRPr="00312389">
        <w:rPr>
          <w:rFonts w:ascii="Arial" w:hAnsi="Arial" w:cs="Arial"/>
          <w:i/>
          <w:iCs/>
        </w:rPr>
        <w:t>52</w:t>
      </w:r>
      <w:r w:rsidRPr="00312389">
        <w:rPr>
          <w:rFonts w:ascii="Arial" w:hAnsi="Arial" w:cs="Arial"/>
        </w:rPr>
        <w:t>(3), pp.48-57.</w:t>
      </w:r>
    </w:p>
    <w:p w14:paraId="1E4B7776" w14:textId="7CBE9B19" w:rsidR="00642D5B" w:rsidRPr="00312389" w:rsidRDefault="00642D5B" w:rsidP="00D40EBB">
      <w:pPr>
        <w:spacing w:line="480" w:lineRule="auto"/>
        <w:rPr>
          <w:rFonts w:ascii="Arial" w:hAnsi="Arial" w:cs="Arial"/>
        </w:rPr>
      </w:pPr>
      <w:proofErr w:type="spellStart"/>
      <w:r w:rsidRPr="00312389">
        <w:rPr>
          <w:rFonts w:ascii="Arial" w:hAnsi="Arial" w:cs="Arial"/>
        </w:rPr>
        <w:t>Flyvbjerg</w:t>
      </w:r>
      <w:proofErr w:type="spellEnd"/>
      <w:r w:rsidRPr="00312389">
        <w:rPr>
          <w:rFonts w:ascii="Arial" w:hAnsi="Arial" w:cs="Arial"/>
        </w:rPr>
        <w:t>, B.</w:t>
      </w:r>
      <w:r w:rsidR="003D1764" w:rsidRPr="00312389">
        <w:rPr>
          <w:rFonts w:ascii="Arial" w:hAnsi="Arial" w:cs="Arial"/>
        </w:rPr>
        <w:t xml:space="preserve"> (</w:t>
      </w:r>
      <w:r w:rsidRPr="00312389">
        <w:rPr>
          <w:rFonts w:ascii="Arial" w:hAnsi="Arial" w:cs="Arial"/>
        </w:rPr>
        <w:t>2016</w:t>
      </w:r>
      <w:r w:rsidR="003D1764" w:rsidRPr="00312389">
        <w:rPr>
          <w:rFonts w:ascii="Arial" w:hAnsi="Arial" w:cs="Arial"/>
        </w:rPr>
        <w:t>)</w:t>
      </w:r>
      <w:r w:rsidRPr="00312389">
        <w:rPr>
          <w:rFonts w:ascii="Arial" w:hAnsi="Arial" w:cs="Arial"/>
        </w:rPr>
        <w:t xml:space="preserve">. </w:t>
      </w:r>
      <w:r w:rsidRPr="00F07C90">
        <w:rPr>
          <w:rFonts w:ascii="Arial" w:hAnsi="Arial" w:cs="Arial"/>
          <w:u w:val="single"/>
        </w:rPr>
        <w:t>Big is Fragile: An attempt at theorizing scale</w:t>
      </w:r>
      <w:r w:rsidRPr="00312389">
        <w:rPr>
          <w:rFonts w:ascii="Arial" w:hAnsi="Arial" w:cs="Arial"/>
        </w:rPr>
        <w:t>. </w:t>
      </w:r>
      <w:r w:rsidRPr="00312389">
        <w:rPr>
          <w:rFonts w:ascii="Arial" w:hAnsi="Arial" w:cs="Arial"/>
          <w:i/>
          <w:iCs/>
        </w:rPr>
        <w:t xml:space="preserve">by B. </w:t>
      </w:r>
      <w:proofErr w:type="spellStart"/>
      <w:r w:rsidRPr="00312389">
        <w:rPr>
          <w:rFonts w:ascii="Arial" w:hAnsi="Arial" w:cs="Arial"/>
          <w:i/>
          <w:iCs/>
        </w:rPr>
        <w:t>Flyvbjerg</w:t>
      </w:r>
      <w:proofErr w:type="spellEnd"/>
      <w:r w:rsidRPr="00312389">
        <w:rPr>
          <w:rFonts w:ascii="Arial" w:hAnsi="Arial" w:cs="Arial"/>
          <w:i/>
          <w:iCs/>
        </w:rPr>
        <w:t xml:space="preserve">. Oxford: Oxford University Press.(2016b).“The fallacy of beneficial ignorance: A test of </w:t>
      </w:r>
      <w:proofErr w:type="spellStart"/>
      <w:r w:rsidRPr="00312389">
        <w:rPr>
          <w:rFonts w:ascii="Arial" w:hAnsi="Arial" w:cs="Arial"/>
          <w:i/>
          <w:iCs/>
        </w:rPr>
        <w:t>hirschman’s</w:t>
      </w:r>
      <w:proofErr w:type="spellEnd"/>
      <w:r w:rsidRPr="00312389">
        <w:rPr>
          <w:rFonts w:ascii="Arial" w:hAnsi="Arial" w:cs="Arial"/>
          <w:i/>
          <w:iCs/>
        </w:rPr>
        <w:t xml:space="preserve"> hiding hand”. In: World Development</w:t>
      </w:r>
      <w:r w:rsidRPr="00312389">
        <w:rPr>
          <w:rFonts w:ascii="Arial" w:hAnsi="Arial" w:cs="Arial"/>
        </w:rPr>
        <w:t>, </w:t>
      </w:r>
      <w:r w:rsidRPr="00312389">
        <w:rPr>
          <w:rFonts w:ascii="Arial" w:hAnsi="Arial" w:cs="Arial"/>
          <w:i/>
          <w:iCs/>
        </w:rPr>
        <w:t>84</w:t>
      </w:r>
      <w:r w:rsidRPr="00312389">
        <w:rPr>
          <w:rFonts w:ascii="Arial" w:hAnsi="Arial" w:cs="Arial"/>
        </w:rPr>
        <w:t>, pp.176-189.</w:t>
      </w:r>
    </w:p>
    <w:p w14:paraId="5032BDA3" w14:textId="07EEA03D" w:rsidR="00642D5B" w:rsidRPr="00312389" w:rsidRDefault="00642D5B" w:rsidP="00D40EBB">
      <w:pPr>
        <w:spacing w:line="480" w:lineRule="auto"/>
        <w:rPr>
          <w:rFonts w:ascii="Arial" w:hAnsi="Arial" w:cs="Arial"/>
        </w:rPr>
      </w:pPr>
      <w:r w:rsidRPr="00312389">
        <w:rPr>
          <w:rFonts w:ascii="Arial" w:hAnsi="Arial" w:cs="Arial"/>
        </w:rPr>
        <w:t>Fields, Z. ed.</w:t>
      </w:r>
      <w:r w:rsidR="003D1764" w:rsidRPr="00312389">
        <w:rPr>
          <w:rFonts w:ascii="Arial" w:hAnsi="Arial" w:cs="Arial"/>
        </w:rPr>
        <w:t xml:space="preserve"> (</w:t>
      </w:r>
      <w:r w:rsidRPr="00312389">
        <w:rPr>
          <w:rFonts w:ascii="Arial" w:hAnsi="Arial" w:cs="Arial"/>
        </w:rPr>
        <w:t>2018</w:t>
      </w:r>
      <w:r w:rsidR="003D1764" w:rsidRPr="00312389">
        <w:rPr>
          <w:rFonts w:ascii="Arial" w:hAnsi="Arial" w:cs="Arial"/>
        </w:rPr>
        <w:t>)</w:t>
      </w:r>
      <w:r w:rsidRPr="00312389">
        <w:rPr>
          <w:rFonts w:ascii="Arial" w:hAnsi="Arial" w:cs="Arial"/>
        </w:rPr>
        <w:t>. </w:t>
      </w:r>
      <w:r w:rsidRPr="00F07C90">
        <w:rPr>
          <w:rFonts w:ascii="Arial" w:hAnsi="Arial" w:cs="Arial"/>
          <w:i/>
          <w:iCs/>
          <w:u w:val="single"/>
        </w:rPr>
        <w:t>Handbook of Research on Information and Cyber Security in the Fourth Industrial Revolution</w:t>
      </w:r>
      <w:r w:rsidRPr="00312389">
        <w:rPr>
          <w:rFonts w:ascii="Arial" w:hAnsi="Arial" w:cs="Arial"/>
        </w:rPr>
        <w:t xml:space="preserve">. </w:t>
      </w:r>
      <w:r w:rsidR="00F07C90">
        <w:rPr>
          <w:rFonts w:ascii="Arial" w:hAnsi="Arial" w:cs="Arial"/>
        </w:rPr>
        <w:t>Pe</w:t>
      </w:r>
      <w:r w:rsidR="006A5598">
        <w:rPr>
          <w:rFonts w:ascii="Arial" w:hAnsi="Arial" w:cs="Arial"/>
        </w:rPr>
        <w:t xml:space="preserve">nnsylvania: </w:t>
      </w:r>
      <w:r w:rsidRPr="00312389">
        <w:rPr>
          <w:rFonts w:ascii="Arial" w:hAnsi="Arial" w:cs="Arial"/>
        </w:rPr>
        <w:t>IGI Global.</w:t>
      </w:r>
    </w:p>
    <w:p w14:paraId="45A1F2E7" w14:textId="5C12ED5E" w:rsidR="00642D5B" w:rsidRPr="00312389" w:rsidRDefault="00642D5B" w:rsidP="00D40EBB">
      <w:pPr>
        <w:spacing w:line="480" w:lineRule="auto"/>
        <w:rPr>
          <w:rFonts w:ascii="Arial" w:hAnsi="Arial" w:cs="Arial"/>
        </w:rPr>
      </w:pPr>
      <w:r w:rsidRPr="00312389">
        <w:rPr>
          <w:rFonts w:ascii="Arial" w:hAnsi="Arial" w:cs="Arial"/>
        </w:rPr>
        <w:t xml:space="preserve">Gary, J.E. and </w:t>
      </w:r>
      <w:proofErr w:type="spellStart"/>
      <w:r w:rsidRPr="00312389">
        <w:rPr>
          <w:rFonts w:ascii="Arial" w:hAnsi="Arial" w:cs="Arial"/>
        </w:rPr>
        <w:t>Heiko</w:t>
      </w:r>
      <w:proofErr w:type="spellEnd"/>
      <w:r w:rsidRPr="00312389">
        <w:rPr>
          <w:rFonts w:ascii="Arial" w:hAnsi="Arial" w:cs="Arial"/>
        </w:rPr>
        <w:t>, A.</w:t>
      </w:r>
      <w:r w:rsidR="003D1764" w:rsidRPr="00312389">
        <w:rPr>
          <w:rFonts w:ascii="Arial" w:hAnsi="Arial" w:cs="Arial"/>
        </w:rPr>
        <w:t xml:space="preserve"> (</w:t>
      </w:r>
      <w:r w:rsidRPr="00312389">
        <w:rPr>
          <w:rFonts w:ascii="Arial" w:hAnsi="Arial" w:cs="Arial"/>
        </w:rPr>
        <w:t>2015</w:t>
      </w:r>
      <w:r w:rsidR="003D1764" w:rsidRPr="00312389">
        <w:rPr>
          <w:rFonts w:ascii="Arial" w:hAnsi="Arial" w:cs="Arial"/>
        </w:rPr>
        <w:t>)</w:t>
      </w:r>
      <w:r w:rsidRPr="00312389">
        <w:rPr>
          <w:rFonts w:ascii="Arial" w:hAnsi="Arial" w:cs="Arial"/>
        </w:rPr>
        <w:t xml:space="preserve">. </w:t>
      </w:r>
      <w:r w:rsidRPr="00206D68">
        <w:rPr>
          <w:rFonts w:ascii="Arial" w:hAnsi="Arial" w:cs="Arial"/>
          <w:u w:val="single"/>
        </w:rPr>
        <w:t>The future of foresight professionals: Results from a global Delphi study</w:t>
      </w:r>
      <w:r w:rsidRPr="00312389">
        <w:rPr>
          <w:rFonts w:ascii="Arial" w:hAnsi="Arial" w:cs="Arial"/>
        </w:rPr>
        <w:t>. </w:t>
      </w:r>
      <w:r w:rsidRPr="00312389">
        <w:rPr>
          <w:rFonts w:ascii="Arial" w:hAnsi="Arial" w:cs="Arial"/>
          <w:i/>
          <w:iCs/>
        </w:rPr>
        <w:t>Futures</w:t>
      </w:r>
      <w:r w:rsidRPr="00312389">
        <w:rPr>
          <w:rFonts w:ascii="Arial" w:hAnsi="Arial" w:cs="Arial"/>
        </w:rPr>
        <w:t>, </w:t>
      </w:r>
      <w:r w:rsidRPr="00312389">
        <w:rPr>
          <w:rFonts w:ascii="Arial" w:hAnsi="Arial" w:cs="Arial"/>
          <w:i/>
          <w:iCs/>
        </w:rPr>
        <w:t>71</w:t>
      </w:r>
      <w:r w:rsidRPr="00312389">
        <w:rPr>
          <w:rFonts w:ascii="Arial" w:hAnsi="Arial" w:cs="Arial"/>
        </w:rPr>
        <w:t>, pp.132-145.</w:t>
      </w:r>
    </w:p>
    <w:p w14:paraId="70F055D7" w14:textId="05635582" w:rsidR="00642D5B" w:rsidRPr="00312389" w:rsidRDefault="00642D5B" w:rsidP="00D40EBB">
      <w:pPr>
        <w:spacing w:line="480" w:lineRule="auto"/>
        <w:rPr>
          <w:rFonts w:ascii="Arial" w:hAnsi="Arial" w:cs="Arial"/>
        </w:rPr>
      </w:pPr>
      <w:proofErr w:type="spellStart"/>
      <w:r w:rsidRPr="00312389">
        <w:rPr>
          <w:rFonts w:ascii="Arial" w:hAnsi="Arial" w:cs="Arial"/>
        </w:rPr>
        <w:t>GreenPope</w:t>
      </w:r>
      <w:proofErr w:type="spellEnd"/>
      <w:r w:rsidRPr="00312389">
        <w:rPr>
          <w:rFonts w:ascii="Arial" w:hAnsi="Arial" w:cs="Arial"/>
        </w:rPr>
        <w:t xml:space="preserve">, R.A., Beaton, E.K., </w:t>
      </w:r>
      <w:proofErr w:type="spellStart"/>
      <w:r w:rsidRPr="00312389">
        <w:rPr>
          <w:rFonts w:ascii="Arial" w:hAnsi="Arial" w:cs="Arial"/>
        </w:rPr>
        <w:t>Boiney</w:t>
      </w:r>
      <w:proofErr w:type="spellEnd"/>
      <w:r w:rsidRPr="00312389">
        <w:rPr>
          <w:rFonts w:ascii="Arial" w:hAnsi="Arial" w:cs="Arial"/>
        </w:rPr>
        <w:t xml:space="preserve">, L.G., Drury, J.L., </w:t>
      </w:r>
      <w:proofErr w:type="spellStart"/>
      <w:r w:rsidRPr="00312389">
        <w:rPr>
          <w:rFonts w:ascii="Arial" w:hAnsi="Arial" w:cs="Arial"/>
        </w:rPr>
        <w:t>Henriques</w:t>
      </w:r>
      <w:proofErr w:type="spellEnd"/>
      <w:r w:rsidRPr="00312389">
        <w:rPr>
          <w:rFonts w:ascii="Arial" w:hAnsi="Arial" w:cs="Arial"/>
        </w:rPr>
        <w:t>, R.D., Howland, M. and Klein, G.L.</w:t>
      </w:r>
      <w:r w:rsidR="003D1764" w:rsidRPr="00312389">
        <w:rPr>
          <w:rFonts w:ascii="Arial" w:hAnsi="Arial" w:cs="Arial"/>
        </w:rPr>
        <w:t xml:space="preserve"> (</w:t>
      </w:r>
      <w:r w:rsidRPr="00312389">
        <w:rPr>
          <w:rFonts w:ascii="Arial" w:hAnsi="Arial" w:cs="Arial"/>
        </w:rPr>
        <w:t>2010</w:t>
      </w:r>
      <w:r w:rsidR="003D1764" w:rsidRPr="00312389">
        <w:rPr>
          <w:rFonts w:ascii="Arial" w:hAnsi="Arial" w:cs="Arial"/>
        </w:rPr>
        <w:t>)</w:t>
      </w:r>
      <w:r w:rsidRPr="00312389">
        <w:rPr>
          <w:rFonts w:ascii="Arial" w:hAnsi="Arial" w:cs="Arial"/>
        </w:rPr>
        <w:t xml:space="preserve">, May. </w:t>
      </w:r>
      <w:r w:rsidRPr="00206D68">
        <w:rPr>
          <w:rFonts w:ascii="Arial" w:hAnsi="Arial" w:cs="Arial"/>
          <w:u w:val="single"/>
        </w:rPr>
        <w:t>Aviation security collaboration stakeholder governance review</w:t>
      </w:r>
      <w:r w:rsidRPr="00312389">
        <w:rPr>
          <w:rFonts w:ascii="Arial" w:hAnsi="Arial" w:cs="Arial"/>
        </w:rPr>
        <w:t>. In </w:t>
      </w:r>
      <w:r w:rsidRPr="00312389">
        <w:rPr>
          <w:rFonts w:ascii="Arial" w:hAnsi="Arial" w:cs="Arial"/>
          <w:i/>
          <w:iCs/>
        </w:rPr>
        <w:t>2010 Integrated Communications, Navigation, and Surveillance Conference Proceedings</w:t>
      </w:r>
      <w:r w:rsidRPr="00312389">
        <w:rPr>
          <w:rFonts w:ascii="Arial" w:hAnsi="Arial" w:cs="Arial"/>
        </w:rPr>
        <w:t> (pp. N4-1). IEEE.</w:t>
      </w:r>
    </w:p>
    <w:p w14:paraId="396832AF" w14:textId="77777777" w:rsidR="00025B97" w:rsidRPr="00312389" w:rsidRDefault="00025B97" w:rsidP="00D40EBB">
      <w:pPr>
        <w:spacing w:line="480" w:lineRule="auto"/>
        <w:rPr>
          <w:rFonts w:ascii="Arial" w:hAnsi="Arial" w:cs="Arial"/>
        </w:rPr>
      </w:pPr>
      <w:r w:rsidRPr="00312389">
        <w:rPr>
          <w:rFonts w:ascii="Arial" w:hAnsi="Arial" w:cs="Arial"/>
        </w:rPr>
        <w:lastRenderedPageBreak/>
        <w:t xml:space="preserve">Gregory, R.W., </w:t>
      </w:r>
      <w:proofErr w:type="spellStart"/>
      <w:r w:rsidRPr="00312389">
        <w:rPr>
          <w:rFonts w:ascii="Arial" w:hAnsi="Arial" w:cs="Arial"/>
        </w:rPr>
        <w:t>Kaganer</w:t>
      </w:r>
      <w:proofErr w:type="spellEnd"/>
      <w:r w:rsidRPr="00312389">
        <w:rPr>
          <w:rFonts w:ascii="Arial" w:hAnsi="Arial" w:cs="Arial"/>
        </w:rPr>
        <w:t xml:space="preserve">, E., </w:t>
      </w:r>
      <w:proofErr w:type="spellStart"/>
      <w:r w:rsidRPr="00312389">
        <w:rPr>
          <w:rFonts w:ascii="Arial" w:hAnsi="Arial" w:cs="Arial"/>
        </w:rPr>
        <w:t>Henfridsson</w:t>
      </w:r>
      <w:proofErr w:type="spellEnd"/>
      <w:r w:rsidRPr="00312389">
        <w:rPr>
          <w:rFonts w:ascii="Arial" w:hAnsi="Arial" w:cs="Arial"/>
        </w:rPr>
        <w:t xml:space="preserve">, O. and </w:t>
      </w:r>
      <w:proofErr w:type="spellStart"/>
      <w:r w:rsidRPr="00312389">
        <w:rPr>
          <w:rFonts w:ascii="Arial" w:hAnsi="Arial" w:cs="Arial"/>
        </w:rPr>
        <w:t>Ruch</w:t>
      </w:r>
      <w:proofErr w:type="spellEnd"/>
      <w:r w:rsidRPr="00312389">
        <w:rPr>
          <w:rFonts w:ascii="Arial" w:hAnsi="Arial" w:cs="Arial"/>
        </w:rPr>
        <w:t xml:space="preserve">, T.J. (2018). </w:t>
      </w:r>
      <w:r w:rsidRPr="00206D68">
        <w:rPr>
          <w:rFonts w:ascii="Arial" w:hAnsi="Arial" w:cs="Arial"/>
          <w:u w:val="single"/>
        </w:rPr>
        <w:t xml:space="preserve">IT </w:t>
      </w:r>
      <w:proofErr w:type="spellStart"/>
      <w:r w:rsidRPr="00206D68">
        <w:rPr>
          <w:rFonts w:ascii="Arial" w:hAnsi="Arial" w:cs="Arial"/>
          <w:u w:val="single"/>
        </w:rPr>
        <w:t>Consumerization</w:t>
      </w:r>
      <w:proofErr w:type="spellEnd"/>
      <w:r w:rsidRPr="00206D68">
        <w:rPr>
          <w:rFonts w:ascii="Arial" w:hAnsi="Arial" w:cs="Arial"/>
          <w:u w:val="single"/>
        </w:rPr>
        <w:t xml:space="preserve"> and the Transformation of IT Governance</w:t>
      </w:r>
      <w:r w:rsidRPr="00312389">
        <w:rPr>
          <w:rFonts w:ascii="Arial" w:hAnsi="Arial" w:cs="Arial"/>
        </w:rPr>
        <w:t>. ​</w:t>
      </w:r>
      <w:r w:rsidRPr="00312389">
        <w:rPr>
          <w:rFonts w:ascii="Arial" w:hAnsi="Arial" w:cs="Arial"/>
          <w:i/>
        </w:rPr>
        <w:t>MIS Quarterly</w:t>
      </w:r>
      <w:r w:rsidRPr="00312389">
        <w:rPr>
          <w:rFonts w:ascii="Arial" w:hAnsi="Arial" w:cs="Arial"/>
        </w:rPr>
        <w:t>​, ​</w:t>
      </w:r>
      <w:r w:rsidRPr="00312389">
        <w:rPr>
          <w:rFonts w:ascii="Arial" w:hAnsi="Arial" w:cs="Arial"/>
          <w:i/>
        </w:rPr>
        <w:t>42</w:t>
      </w:r>
      <w:r w:rsidRPr="00312389">
        <w:rPr>
          <w:rFonts w:ascii="Arial" w:hAnsi="Arial" w:cs="Arial"/>
        </w:rPr>
        <w:t xml:space="preserve">​(4), pp.1225-1253. </w:t>
      </w:r>
    </w:p>
    <w:p w14:paraId="4F1A15B6" w14:textId="3A47DD6A" w:rsidR="00642D5B" w:rsidRPr="00312389" w:rsidRDefault="00642D5B" w:rsidP="00D40EBB">
      <w:pPr>
        <w:spacing w:line="480" w:lineRule="auto"/>
        <w:rPr>
          <w:rFonts w:ascii="Arial" w:hAnsi="Arial" w:cs="Arial"/>
        </w:rPr>
      </w:pPr>
      <w:r w:rsidRPr="00312389">
        <w:rPr>
          <w:rFonts w:ascii="Arial" w:hAnsi="Arial" w:cs="Arial"/>
        </w:rPr>
        <w:t>Griffith, M.K.</w:t>
      </w:r>
      <w:r w:rsidR="003D1764" w:rsidRPr="00312389">
        <w:rPr>
          <w:rFonts w:ascii="Arial" w:hAnsi="Arial" w:cs="Arial"/>
        </w:rPr>
        <w:t xml:space="preserve"> (</w:t>
      </w:r>
      <w:r w:rsidRPr="00312389">
        <w:rPr>
          <w:rFonts w:ascii="Arial" w:hAnsi="Arial" w:cs="Arial"/>
        </w:rPr>
        <w:t>2018</w:t>
      </w:r>
      <w:r w:rsidR="003D1764" w:rsidRPr="00312389">
        <w:rPr>
          <w:rFonts w:ascii="Arial" w:hAnsi="Arial" w:cs="Arial"/>
        </w:rPr>
        <w:t>)</w:t>
      </w:r>
      <w:r w:rsidRPr="00312389">
        <w:rPr>
          <w:rFonts w:ascii="Arial" w:hAnsi="Arial" w:cs="Arial"/>
        </w:rPr>
        <w:t xml:space="preserve">. </w:t>
      </w:r>
      <w:r w:rsidRPr="00206D68">
        <w:rPr>
          <w:rFonts w:ascii="Arial" w:hAnsi="Arial" w:cs="Arial"/>
          <w:u w:val="single"/>
        </w:rPr>
        <w:t>A comprehensive security approach: bolstering Finnish cybersecurity capacity</w:t>
      </w:r>
      <w:r w:rsidRPr="00312389">
        <w:rPr>
          <w:rFonts w:ascii="Arial" w:hAnsi="Arial" w:cs="Arial"/>
        </w:rPr>
        <w:t>. </w:t>
      </w:r>
      <w:r w:rsidRPr="00312389">
        <w:rPr>
          <w:rFonts w:ascii="Arial" w:hAnsi="Arial" w:cs="Arial"/>
          <w:i/>
          <w:iCs/>
        </w:rPr>
        <w:t>Journal of Cyber Policy</w:t>
      </w:r>
      <w:r w:rsidRPr="00312389">
        <w:rPr>
          <w:rFonts w:ascii="Arial" w:hAnsi="Arial" w:cs="Arial"/>
        </w:rPr>
        <w:t>, </w:t>
      </w:r>
      <w:r w:rsidRPr="00312389">
        <w:rPr>
          <w:rFonts w:ascii="Arial" w:hAnsi="Arial" w:cs="Arial"/>
          <w:i/>
          <w:iCs/>
        </w:rPr>
        <w:t>3</w:t>
      </w:r>
      <w:r w:rsidRPr="00312389">
        <w:rPr>
          <w:rFonts w:ascii="Arial" w:hAnsi="Arial" w:cs="Arial"/>
        </w:rPr>
        <w:t>(3), pp.407-429.</w:t>
      </w:r>
    </w:p>
    <w:p w14:paraId="7198E543" w14:textId="77777777" w:rsidR="00BF1A5E" w:rsidRPr="00312389" w:rsidRDefault="00642D5B" w:rsidP="00D40EBB">
      <w:pPr>
        <w:spacing w:line="480" w:lineRule="auto"/>
        <w:rPr>
          <w:rFonts w:ascii="Arial" w:hAnsi="Arial" w:cs="Arial"/>
        </w:rPr>
      </w:pPr>
      <w:proofErr w:type="spellStart"/>
      <w:r w:rsidRPr="00312389">
        <w:rPr>
          <w:rFonts w:ascii="Arial" w:hAnsi="Arial" w:cs="Arial"/>
        </w:rPr>
        <w:t>Hallett</w:t>
      </w:r>
      <w:proofErr w:type="spellEnd"/>
      <w:r w:rsidRPr="00312389">
        <w:rPr>
          <w:rFonts w:ascii="Arial" w:hAnsi="Arial" w:cs="Arial"/>
        </w:rPr>
        <w:t>, J., Larson, R. and Rashid, A.</w:t>
      </w:r>
      <w:r w:rsidR="003D1764" w:rsidRPr="00312389">
        <w:rPr>
          <w:rFonts w:ascii="Arial" w:hAnsi="Arial" w:cs="Arial"/>
        </w:rPr>
        <w:t xml:space="preserve"> (</w:t>
      </w:r>
      <w:r w:rsidRPr="00312389">
        <w:rPr>
          <w:rFonts w:ascii="Arial" w:hAnsi="Arial" w:cs="Arial"/>
        </w:rPr>
        <w:t>2018</w:t>
      </w:r>
      <w:r w:rsidR="003D1764" w:rsidRPr="00312389">
        <w:rPr>
          <w:rFonts w:ascii="Arial" w:hAnsi="Arial" w:cs="Arial"/>
        </w:rPr>
        <w:t>)</w:t>
      </w:r>
      <w:r w:rsidRPr="00312389">
        <w:rPr>
          <w:rFonts w:ascii="Arial" w:hAnsi="Arial" w:cs="Arial"/>
        </w:rPr>
        <w:t xml:space="preserve">. </w:t>
      </w:r>
      <w:r w:rsidRPr="00206D68">
        <w:rPr>
          <w:rFonts w:ascii="Arial" w:hAnsi="Arial" w:cs="Arial"/>
          <w:u w:val="single"/>
        </w:rPr>
        <w:t>Mirror, Mirror, On the Wall: What are we Teaching Them All? Characterising the Focus of Cybersecurity Curricular Frameworks</w:t>
      </w:r>
      <w:r w:rsidRPr="00312389">
        <w:rPr>
          <w:rFonts w:ascii="Arial" w:hAnsi="Arial" w:cs="Arial"/>
        </w:rPr>
        <w:t>. In </w:t>
      </w:r>
      <w:r w:rsidRPr="00312389">
        <w:rPr>
          <w:rFonts w:ascii="Arial" w:hAnsi="Arial" w:cs="Arial"/>
          <w:i/>
          <w:iCs/>
        </w:rPr>
        <w:t>2018 {USENIX} Workshop on Advances in Security Education ({ASE} 18)</w:t>
      </w:r>
      <w:r w:rsidRPr="00312389">
        <w:rPr>
          <w:rFonts w:ascii="Arial" w:hAnsi="Arial" w:cs="Arial"/>
        </w:rPr>
        <w:t>.</w:t>
      </w:r>
    </w:p>
    <w:p w14:paraId="0E2753AA" w14:textId="77777777" w:rsidR="00BF1A5E" w:rsidRPr="00312389" w:rsidRDefault="00BF1A5E" w:rsidP="00D40EBB">
      <w:pPr>
        <w:spacing w:line="480" w:lineRule="auto"/>
        <w:rPr>
          <w:rFonts w:ascii="Arial" w:hAnsi="Arial" w:cs="Arial"/>
        </w:rPr>
      </w:pPr>
      <w:r w:rsidRPr="00312389">
        <w:rPr>
          <w:rFonts w:ascii="Arial" w:hAnsi="Arial" w:cs="Arial"/>
        </w:rPr>
        <w:t>Harding, J. (2018). </w:t>
      </w:r>
      <w:r w:rsidRPr="00206D68">
        <w:rPr>
          <w:rFonts w:ascii="Arial" w:hAnsi="Arial" w:cs="Arial"/>
          <w:i/>
          <w:iCs/>
          <w:u w:val="single"/>
        </w:rPr>
        <w:t>Qualitative data analysis: From start to finish</w:t>
      </w:r>
      <w:r w:rsidRPr="00312389">
        <w:rPr>
          <w:rFonts w:ascii="Arial" w:hAnsi="Arial" w:cs="Arial"/>
        </w:rPr>
        <w:t>. London: SAGE Publications Limited.</w:t>
      </w:r>
    </w:p>
    <w:p w14:paraId="52F0DDE5" w14:textId="6081FC55" w:rsidR="00BF1A5E" w:rsidRPr="00312389" w:rsidRDefault="00BF1A5E" w:rsidP="00D40EBB">
      <w:pPr>
        <w:spacing w:line="480" w:lineRule="auto"/>
        <w:rPr>
          <w:rFonts w:ascii="Arial" w:hAnsi="Arial" w:cs="Arial"/>
        </w:rPr>
      </w:pPr>
      <w:r w:rsidRPr="00312389">
        <w:rPr>
          <w:rFonts w:ascii="Arial" w:hAnsi="Arial" w:cs="Arial"/>
        </w:rPr>
        <w:t xml:space="preserve">Hassan, N.R., Mingers, J. and Stahl, B. (2018). </w:t>
      </w:r>
      <w:r w:rsidRPr="00206D68">
        <w:rPr>
          <w:rFonts w:ascii="Arial" w:hAnsi="Arial" w:cs="Arial"/>
          <w:u w:val="single"/>
        </w:rPr>
        <w:t>Philosophy and information systems: where are we and where should we go?</w:t>
      </w:r>
      <w:r w:rsidRPr="00312389">
        <w:rPr>
          <w:rFonts w:ascii="Arial" w:hAnsi="Arial" w:cs="Arial"/>
        </w:rPr>
        <w:t>. Available at: http://www.jtaer.com/statistics/download/download.php?co_id=JTA20190200 (Accessed: 2</w:t>
      </w:r>
      <w:r w:rsidR="000F544B">
        <w:rPr>
          <w:rFonts w:ascii="Arial" w:hAnsi="Arial" w:cs="Arial"/>
        </w:rPr>
        <w:t>0</w:t>
      </w:r>
      <w:r w:rsidRPr="00312389">
        <w:rPr>
          <w:rFonts w:ascii="Arial" w:hAnsi="Arial" w:cs="Arial"/>
        </w:rPr>
        <w:t xml:space="preserve"> </w:t>
      </w:r>
      <w:r w:rsidR="000F544B">
        <w:rPr>
          <w:rFonts w:ascii="Arial" w:hAnsi="Arial" w:cs="Arial"/>
        </w:rPr>
        <w:t>April</w:t>
      </w:r>
      <w:r w:rsidRPr="00312389">
        <w:rPr>
          <w:rFonts w:ascii="Arial" w:hAnsi="Arial" w:cs="Arial"/>
        </w:rPr>
        <w:t xml:space="preserve"> 20</w:t>
      </w:r>
      <w:r w:rsidR="000F544B">
        <w:rPr>
          <w:rFonts w:ascii="Arial" w:hAnsi="Arial" w:cs="Arial"/>
        </w:rPr>
        <w:t>21</w:t>
      </w:r>
      <w:r w:rsidRPr="00312389">
        <w:rPr>
          <w:rFonts w:ascii="Arial" w:hAnsi="Arial" w:cs="Arial"/>
        </w:rPr>
        <w:t>).</w:t>
      </w:r>
    </w:p>
    <w:p w14:paraId="0A652772" w14:textId="1344D6CB" w:rsidR="00025B97" w:rsidRPr="00312389" w:rsidRDefault="00025B97" w:rsidP="00D40EBB">
      <w:pPr>
        <w:spacing w:line="480" w:lineRule="auto"/>
        <w:rPr>
          <w:rFonts w:ascii="Arial" w:hAnsi="Arial" w:cs="Arial"/>
        </w:rPr>
      </w:pPr>
      <w:r w:rsidRPr="00312389">
        <w:rPr>
          <w:rFonts w:ascii="Arial" w:hAnsi="Arial" w:cs="Arial"/>
        </w:rPr>
        <w:t xml:space="preserve">Hayes, J. and </w:t>
      </w:r>
      <w:proofErr w:type="spellStart"/>
      <w:r w:rsidRPr="00312389">
        <w:rPr>
          <w:rFonts w:ascii="Arial" w:hAnsi="Arial" w:cs="Arial"/>
        </w:rPr>
        <w:t>Bodhani</w:t>
      </w:r>
      <w:proofErr w:type="spellEnd"/>
      <w:r w:rsidRPr="00312389">
        <w:rPr>
          <w:rFonts w:ascii="Arial" w:hAnsi="Arial" w:cs="Arial"/>
        </w:rPr>
        <w:t xml:space="preserve">, A. (2013). </w:t>
      </w:r>
      <w:r w:rsidRPr="00206D68">
        <w:rPr>
          <w:rFonts w:ascii="Arial" w:hAnsi="Arial" w:cs="Arial"/>
          <w:u w:val="single"/>
        </w:rPr>
        <w:t>Cyber security: small firms under fire [</w:t>
      </w:r>
      <w:proofErr w:type="spellStart"/>
      <w:r w:rsidRPr="00206D68">
        <w:rPr>
          <w:rFonts w:ascii="Arial" w:hAnsi="Arial" w:cs="Arial"/>
          <w:u w:val="single"/>
        </w:rPr>
        <w:t>InformatIon</w:t>
      </w:r>
      <w:proofErr w:type="spellEnd"/>
      <w:r w:rsidRPr="00206D68">
        <w:rPr>
          <w:rFonts w:ascii="Arial" w:hAnsi="Arial" w:cs="Arial"/>
          <w:u w:val="single"/>
        </w:rPr>
        <w:t xml:space="preserve"> Technology Professionalism].</w:t>
      </w:r>
      <w:r w:rsidRPr="00312389">
        <w:rPr>
          <w:rFonts w:ascii="Arial" w:hAnsi="Arial" w:cs="Arial"/>
        </w:rPr>
        <w:t xml:space="preserve"> </w:t>
      </w:r>
      <w:r w:rsidRPr="00312389">
        <w:rPr>
          <w:rFonts w:ascii="Arial" w:hAnsi="Arial" w:cs="Arial"/>
          <w:i/>
        </w:rPr>
        <w:t>Engineering &amp; Technology</w:t>
      </w:r>
      <w:r w:rsidRPr="00312389">
        <w:rPr>
          <w:rFonts w:ascii="Arial" w:hAnsi="Arial" w:cs="Arial"/>
        </w:rPr>
        <w:t>​, ​</w:t>
      </w:r>
      <w:r w:rsidRPr="00312389">
        <w:rPr>
          <w:rFonts w:ascii="Arial" w:hAnsi="Arial" w:cs="Arial"/>
          <w:i/>
        </w:rPr>
        <w:t>8</w:t>
      </w:r>
      <w:r w:rsidRPr="00312389">
        <w:rPr>
          <w:rFonts w:ascii="Arial" w:hAnsi="Arial" w:cs="Arial"/>
        </w:rPr>
        <w:t>​(6), pp.80-83.</w:t>
      </w:r>
    </w:p>
    <w:p w14:paraId="1A773322" w14:textId="2D3F91A4" w:rsidR="00BF1A5E" w:rsidRPr="00312389" w:rsidRDefault="00025B97" w:rsidP="00D40EBB">
      <w:pPr>
        <w:spacing w:line="480" w:lineRule="auto"/>
        <w:rPr>
          <w:rFonts w:ascii="Arial" w:hAnsi="Arial" w:cs="Arial"/>
        </w:rPr>
      </w:pPr>
      <w:r w:rsidRPr="00312389">
        <w:rPr>
          <w:rFonts w:ascii="Arial" w:hAnsi="Arial" w:cs="Arial"/>
        </w:rPr>
        <w:t xml:space="preserve">Henderson, J.C. and </w:t>
      </w:r>
      <w:proofErr w:type="spellStart"/>
      <w:r w:rsidRPr="00312389">
        <w:rPr>
          <w:rFonts w:ascii="Arial" w:hAnsi="Arial" w:cs="Arial"/>
        </w:rPr>
        <w:t>Venkatraman</w:t>
      </w:r>
      <w:proofErr w:type="spellEnd"/>
      <w:r w:rsidRPr="00312389">
        <w:rPr>
          <w:rFonts w:ascii="Arial" w:hAnsi="Arial" w:cs="Arial"/>
        </w:rPr>
        <w:t>, N. (1994). ​</w:t>
      </w:r>
      <w:r w:rsidRPr="00403284">
        <w:rPr>
          <w:rFonts w:ascii="Arial" w:hAnsi="Arial" w:cs="Arial"/>
          <w:iCs/>
          <w:u w:val="single"/>
        </w:rPr>
        <w:t>Strategic alignment: a model for organizational transformation via information technology</w:t>
      </w:r>
      <w:r w:rsidRPr="00312389">
        <w:rPr>
          <w:rFonts w:ascii="Arial" w:hAnsi="Arial" w:cs="Arial"/>
        </w:rPr>
        <w:t xml:space="preserve">​ (pp. 202-220). </w:t>
      </w:r>
      <w:r w:rsidR="00BF1A5E" w:rsidRPr="00312389">
        <w:rPr>
          <w:rFonts w:ascii="Arial" w:hAnsi="Arial" w:cs="Arial"/>
        </w:rPr>
        <w:t xml:space="preserve">New York: </w:t>
      </w:r>
      <w:r w:rsidRPr="00312389">
        <w:rPr>
          <w:rFonts w:ascii="Arial" w:hAnsi="Arial" w:cs="Arial"/>
        </w:rPr>
        <w:t>Oxford University Press.</w:t>
      </w:r>
    </w:p>
    <w:p w14:paraId="29AD1A64" w14:textId="77777777" w:rsidR="00BF1A5E" w:rsidRPr="00312389" w:rsidRDefault="00BF1A5E" w:rsidP="00D40EBB">
      <w:pPr>
        <w:spacing w:line="480" w:lineRule="auto"/>
        <w:rPr>
          <w:rFonts w:ascii="Arial" w:hAnsi="Arial" w:cs="Arial"/>
        </w:rPr>
      </w:pPr>
      <w:proofErr w:type="spellStart"/>
      <w:r w:rsidRPr="00312389">
        <w:rPr>
          <w:rFonts w:ascii="Arial" w:hAnsi="Arial" w:cs="Arial"/>
        </w:rPr>
        <w:t>Howlett</w:t>
      </w:r>
      <w:proofErr w:type="spellEnd"/>
      <w:r w:rsidRPr="00312389">
        <w:rPr>
          <w:rFonts w:ascii="Arial" w:hAnsi="Arial" w:cs="Arial"/>
        </w:rPr>
        <w:t xml:space="preserve">, M. (2018). </w:t>
      </w:r>
      <w:r w:rsidRPr="00206D68">
        <w:rPr>
          <w:rFonts w:ascii="Arial" w:hAnsi="Arial" w:cs="Arial"/>
          <w:u w:val="single"/>
        </w:rPr>
        <w:t>Matching policy tools and their targets: beyond nudges and utility maximisation in policy design</w:t>
      </w:r>
      <w:r w:rsidRPr="00312389">
        <w:rPr>
          <w:rFonts w:ascii="Arial" w:hAnsi="Arial" w:cs="Arial"/>
        </w:rPr>
        <w:t>. </w:t>
      </w:r>
      <w:r w:rsidRPr="00312389">
        <w:rPr>
          <w:rFonts w:ascii="Arial" w:hAnsi="Arial" w:cs="Arial"/>
          <w:i/>
          <w:iCs/>
        </w:rPr>
        <w:t>Policy &amp; Politics</w:t>
      </w:r>
      <w:r w:rsidRPr="00312389">
        <w:rPr>
          <w:rFonts w:ascii="Arial" w:hAnsi="Arial" w:cs="Arial"/>
        </w:rPr>
        <w:t>, </w:t>
      </w:r>
      <w:r w:rsidRPr="00312389">
        <w:rPr>
          <w:rFonts w:ascii="Arial" w:hAnsi="Arial" w:cs="Arial"/>
          <w:i/>
          <w:iCs/>
        </w:rPr>
        <w:t>46</w:t>
      </w:r>
      <w:r w:rsidRPr="00312389">
        <w:rPr>
          <w:rFonts w:ascii="Arial" w:hAnsi="Arial" w:cs="Arial"/>
        </w:rPr>
        <w:t>(1), pp.101-124.</w:t>
      </w:r>
    </w:p>
    <w:p w14:paraId="38F9D459" w14:textId="4F337FB8" w:rsidR="00BF1A5E" w:rsidRPr="00312389" w:rsidRDefault="00BF1A5E" w:rsidP="00D40EBB">
      <w:pPr>
        <w:spacing w:line="480" w:lineRule="auto"/>
        <w:rPr>
          <w:rFonts w:ascii="Arial" w:hAnsi="Arial" w:cs="Arial"/>
        </w:rPr>
      </w:pPr>
      <w:proofErr w:type="spellStart"/>
      <w:r w:rsidRPr="00312389">
        <w:rPr>
          <w:rFonts w:ascii="Arial" w:hAnsi="Arial" w:cs="Arial"/>
        </w:rPr>
        <w:lastRenderedPageBreak/>
        <w:t>Hox</w:t>
      </w:r>
      <w:proofErr w:type="spellEnd"/>
      <w:r w:rsidRPr="00312389">
        <w:rPr>
          <w:rFonts w:ascii="Arial" w:hAnsi="Arial" w:cs="Arial"/>
        </w:rPr>
        <w:t xml:space="preserve">, J.J. and </w:t>
      </w:r>
      <w:proofErr w:type="spellStart"/>
      <w:r w:rsidRPr="00312389">
        <w:rPr>
          <w:rFonts w:ascii="Arial" w:hAnsi="Arial" w:cs="Arial"/>
        </w:rPr>
        <w:t>Boeije</w:t>
      </w:r>
      <w:proofErr w:type="spellEnd"/>
      <w:r w:rsidRPr="00312389">
        <w:rPr>
          <w:rFonts w:ascii="Arial" w:hAnsi="Arial" w:cs="Arial"/>
        </w:rPr>
        <w:t xml:space="preserve">, H.R. (2005). </w:t>
      </w:r>
      <w:r w:rsidRPr="00396CFF">
        <w:rPr>
          <w:rFonts w:ascii="Arial" w:hAnsi="Arial" w:cs="Arial"/>
          <w:u w:val="single"/>
        </w:rPr>
        <w:t>Data collection, primary versus secondary</w:t>
      </w:r>
      <w:r w:rsidRPr="00312389">
        <w:rPr>
          <w:rFonts w:ascii="Arial" w:hAnsi="Arial" w:cs="Arial"/>
        </w:rPr>
        <w:t>. Available at: https:// https://dspace.library.uu.nl/handle/1874/23634.pdf (Accessed: 23 September 20</w:t>
      </w:r>
      <w:r w:rsidR="000F544B">
        <w:rPr>
          <w:rFonts w:ascii="Arial" w:hAnsi="Arial" w:cs="Arial"/>
        </w:rPr>
        <w:t>20</w:t>
      </w:r>
      <w:r w:rsidRPr="00312389">
        <w:rPr>
          <w:rFonts w:ascii="Arial" w:hAnsi="Arial" w:cs="Arial"/>
        </w:rPr>
        <w:t>)</w:t>
      </w:r>
    </w:p>
    <w:p w14:paraId="75C1C404" w14:textId="0457CFAF" w:rsidR="00642D5B" w:rsidRPr="00312389" w:rsidRDefault="00642D5B" w:rsidP="00D40EBB">
      <w:pPr>
        <w:spacing w:line="480" w:lineRule="auto"/>
        <w:rPr>
          <w:rFonts w:ascii="Arial" w:hAnsi="Arial" w:cs="Arial"/>
        </w:rPr>
      </w:pPr>
      <w:r w:rsidRPr="00312389">
        <w:rPr>
          <w:rFonts w:ascii="Arial" w:hAnsi="Arial" w:cs="Arial"/>
        </w:rPr>
        <w:t>Huang, H. and Li, T.S.</w:t>
      </w:r>
      <w:r w:rsidR="003D1764" w:rsidRPr="00312389">
        <w:rPr>
          <w:rFonts w:ascii="Arial" w:hAnsi="Arial" w:cs="Arial"/>
        </w:rPr>
        <w:t xml:space="preserve"> (</w:t>
      </w:r>
      <w:r w:rsidRPr="00312389">
        <w:rPr>
          <w:rFonts w:ascii="Arial" w:hAnsi="Arial" w:cs="Arial"/>
        </w:rPr>
        <w:t>2018</w:t>
      </w:r>
      <w:r w:rsidR="003D1764" w:rsidRPr="00312389">
        <w:rPr>
          <w:rFonts w:ascii="Arial" w:hAnsi="Arial" w:cs="Arial"/>
        </w:rPr>
        <w:t>)</w:t>
      </w:r>
      <w:r w:rsidRPr="00312389">
        <w:rPr>
          <w:rFonts w:ascii="Arial" w:hAnsi="Arial" w:cs="Arial"/>
        </w:rPr>
        <w:t xml:space="preserve">. </w:t>
      </w:r>
      <w:r w:rsidRPr="00396CFF">
        <w:rPr>
          <w:rFonts w:ascii="Arial" w:hAnsi="Arial" w:cs="Arial"/>
          <w:u w:val="single"/>
        </w:rPr>
        <w:t>A centralised cybersecurity strategy for Taiwan</w:t>
      </w:r>
      <w:r w:rsidRPr="00312389">
        <w:rPr>
          <w:rFonts w:ascii="Arial" w:hAnsi="Arial" w:cs="Arial"/>
        </w:rPr>
        <w:t>. </w:t>
      </w:r>
      <w:r w:rsidRPr="00312389">
        <w:rPr>
          <w:rFonts w:ascii="Arial" w:hAnsi="Arial" w:cs="Arial"/>
          <w:i/>
          <w:iCs/>
        </w:rPr>
        <w:t>Journal of Cyber Policy</w:t>
      </w:r>
      <w:r w:rsidRPr="00312389">
        <w:rPr>
          <w:rFonts w:ascii="Arial" w:hAnsi="Arial" w:cs="Arial"/>
        </w:rPr>
        <w:t>, </w:t>
      </w:r>
      <w:r w:rsidRPr="00312389">
        <w:rPr>
          <w:rFonts w:ascii="Arial" w:hAnsi="Arial" w:cs="Arial"/>
          <w:i/>
          <w:iCs/>
        </w:rPr>
        <w:t>3</w:t>
      </w:r>
      <w:r w:rsidRPr="00312389">
        <w:rPr>
          <w:rFonts w:ascii="Arial" w:hAnsi="Arial" w:cs="Arial"/>
        </w:rPr>
        <w:t>(3), pp.344-362.</w:t>
      </w:r>
    </w:p>
    <w:p w14:paraId="4084CB95" w14:textId="77777777" w:rsidR="00025B97" w:rsidRPr="00312389" w:rsidRDefault="00642D5B" w:rsidP="00D40EBB">
      <w:pPr>
        <w:spacing w:line="480" w:lineRule="auto"/>
        <w:rPr>
          <w:rFonts w:ascii="Arial" w:hAnsi="Arial" w:cs="Arial"/>
        </w:rPr>
      </w:pPr>
      <w:r w:rsidRPr="00312389">
        <w:rPr>
          <w:rFonts w:ascii="Arial" w:hAnsi="Arial" w:cs="Arial"/>
        </w:rPr>
        <w:t xml:space="preserve">Huang, R., </w:t>
      </w:r>
      <w:proofErr w:type="spellStart"/>
      <w:r w:rsidRPr="00312389">
        <w:rPr>
          <w:rFonts w:ascii="Arial" w:hAnsi="Arial" w:cs="Arial"/>
        </w:rPr>
        <w:t>Zmud</w:t>
      </w:r>
      <w:proofErr w:type="spellEnd"/>
      <w:r w:rsidRPr="00312389">
        <w:rPr>
          <w:rFonts w:ascii="Arial" w:hAnsi="Arial" w:cs="Arial"/>
        </w:rPr>
        <w:t>, R.W. and Price, R.L.</w:t>
      </w:r>
      <w:r w:rsidR="003D1764" w:rsidRPr="00312389">
        <w:rPr>
          <w:rFonts w:ascii="Arial" w:hAnsi="Arial" w:cs="Arial"/>
        </w:rPr>
        <w:t xml:space="preserve"> (</w:t>
      </w:r>
      <w:r w:rsidRPr="00312389">
        <w:rPr>
          <w:rFonts w:ascii="Arial" w:hAnsi="Arial" w:cs="Arial"/>
        </w:rPr>
        <w:t>2010</w:t>
      </w:r>
      <w:r w:rsidR="003D1764" w:rsidRPr="00312389">
        <w:rPr>
          <w:rFonts w:ascii="Arial" w:hAnsi="Arial" w:cs="Arial"/>
        </w:rPr>
        <w:t>)</w:t>
      </w:r>
      <w:r w:rsidRPr="00312389">
        <w:rPr>
          <w:rFonts w:ascii="Arial" w:hAnsi="Arial" w:cs="Arial"/>
        </w:rPr>
        <w:t xml:space="preserve">. </w:t>
      </w:r>
      <w:r w:rsidRPr="000A4875">
        <w:rPr>
          <w:rFonts w:ascii="Arial" w:hAnsi="Arial" w:cs="Arial"/>
          <w:u w:val="single"/>
        </w:rPr>
        <w:t>Influencing the effectiveness of IT governance practices through steering committees and communication policies.</w:t>
      </w:r>
      <w:r w:rsidRPr="00312389">
        <w:rPr>
          <w:rFonts w:ascii="Arial" w:hAnsi="Arial" w:cs="Arial"/>
        </w:rPr>
        <w:t> </w:t>
      </w:r>
      <w:r w:rsidRPr="00312389">
        <w:rPr>
          <w:rFonts w:ascii="Arial" w:hAnsi="Arial" w:cs="Arial"/>
          <w:i/>
          <w:iCs/>
        </w:rPr>
        <w:t>European Journal of Information Systems</w:t>
      </w:r>
      <w:r w:rsidRPr="00312389">
        <w:rPr>
          <w:rFonts w:ascii="Arial" w:hAnsi="Arial" w:cs="Arial"/>
        </w:rPr>
        <w:t>, </w:t>
      </w:r>
      <w:r w:rsidRPr="00312389">
        <w:rPr>
          <w:rFonts w:ascii="Arial" w:hAnsi="Arial" w:cs="Arial"/>
          <w:i/>
          <w:iCs/>
        </w:rPr>
        <w:t>19</w:t>
      </w:r>
      <w:r w:rsidRPr="00312389">
        <w:rPr>
          <w:rFonts w:ascii="Arial" w:hAnsi="Arial" w:cs="Arial"/>
        </w:rPr>
        <w:t>(3), pp.288-302.</w:t>
      </w:r>
    </w:p>
    <w:p w14:paraId="095E90A3" w14:textId="77777777" w:rsidR="00025B97" w:rsidRPr="00312389" w:rsidRDefault="00025B97" w:rsidP="00D40EBB">
      <w:pPr>
        <w:spacing w:line="480" w:lineRule="auto"/>
        <w:rPr>
          <w:rFonts w:ascii="Arial" w:hAnsi="Arial" w:cs="Arial"/>
        </w:rPr>
      </w:pPr>
      <w:bookmarkStart w:id="50" w:name="_Hlk27734628"/>
      <w:r w:rsidRPr="00312389">
        <w:rPr>
          <w:rFonts w:ascii="Arial" w:hAnsi="Arial" w:cs="Arial"/>
        </w:rPr>
        <w:t xml:space="preserve">Hubbard, D.W. and </w:t>
      </w:r>
      <w:proofErr w:type="spellStart"/>
      <w:r w:rsidRPr="00312389">
        <w:rPr>
          <w:rFonts w:ascii="Arial" w:hAnsi="Arial" w:cs="Arial"/>
        </w:rPr>
        <w:t>Seiersen</w:t>
      </w:r>
      <w:proofErr w:type="spellEnd"/>
      <w:r w:rsidRPr="00312389">
        <w:rPr>
          <w:rFonts w:ascii="Arial" w:hAnsi="Arial" w:cs="Arial"/>
        </w:rPr>
        <w:t>, R. (2016). ​</w:t>
      </w:r>
      <w:r w:rsidRPr="00A45E16">
        <w:rPr>
          <w:rFonts w:ascii="Arial" w:hAnsi="Arial" w:cs="Arial"/>
          <w:iCs/>
          <w:u w:val="single"/>
        </w:rPr>
        <w:t>How to measure anything in cybersecurity risk</w:t>
      </w:r>
      <w:r w:rsidRPr="00A45E16">
        <w:rPr>
          <w:rFonts w:ascii="Arial" w:hAnsi="Arial" w:cs="Arial"/>
          <w:iCs/>
        </w:rPr>
        <w:t>​.</w:t>
      </w:r>
      <w:r w:rsidRPr="00312389">
        <w:rPr>
          <w:rFonts w:ascii="Arial" w:hAnsi="Arial" w:cs="Arial"/>
        </w:rPr>
        <w:t xml:space="preserve"> New Jersey: John Wiley &amp; Sons.</w:t>
      </w:r>
    </w:p>
    <w:bookmarkEnd w:id="50"/>
    <w:p w14:paraId="6F262CEE" w14:textId="77777777" w:rsidR="00025B97" w:rsidRPr="00312389" w:rsidRDefault="00025B97" w:rsidP="00D40EBB">
      <w:pPr>
        <w:spacing w:line="480" w:lineRule="auto"/>
        <w:rPr>
          <w:rFonts w:ascii="Arial" w:hAnsi="Arial" w:cs="Arial"/>
        </w:rPr>
      </w:pPr>
      <w:r w:rsidRPr="00312389">
        <w:rPr>
          <w:rFonts w:ascii="Arial" w:hAnsi="Arial" w:cs="Arial"/>
        </w:rPr>
        <w:t xml:space="preserve">Hyman, P. (2013). </w:t>
      </w:r>
      <w:r w:rsidRPr="00064CDC">
        <w:rPr>
          <w:rFonts w:ascii="Arial" w:hAnsi="Arial" w:cs="Arial"/>
          <w:u w:val="single"/>
        </w:rPr>
        <w:t>Cybercrime: it's serious, but exactly how serious?</w:t>
      </w:r>
      <w:r w:rsidRPr="00312389">
        <w:rPr>
          <w:rFonts w:ascii="Arial" w:hAnsi="Arial" w:cs="Arial"/>
        </w:rPr>
        <w:t xml:space="preserve">. </w:t>
      </w:r>
      <w:r w:rsidRPr="00312389">
        <w:rPr>
          <w:rFonts w:ascii="Arial" w:hAnsi="Arial" w:cs="Arial"/>
          <w:i/>
        </w:rPr>
        <w:t>Communications of the ACM</w:t>
      </w:r>
      <w:r w:rsidRPr="00312389">
        <w:rPr>
          <w:rFonts w:ascii="Arial" w:hAnsi="Arial" w:cs="Arial"/>
        </w:rPr>
        <w:t>​​, ​</w:t>
      </w:r>
      <w:r w:rsidRPr="00312389">
        <w:rPr>
          <w:rFonts w:ascii="Arial" w:hAnsi="Arial" w:cs="Arial"/>
          <w:i/>
        </w:rPr>
        <w:t>56</w:t>
      </w:r>
      <w:r w:rsidRPr="00312389">
        <w:rPr>
          <w:rFonts w:ascii="Arial" w:hAnsi="Arial" w:cs="Arial"/>
        </w:rPr>
        <w:t xml:space="preserve">​(3), pp.18-20. </w:t>
      </w:r>
    </w:p>
    <w:p w14:paraId="45540B2A" w14:textId="77777777" w:rsidR="00025B97" w:rsidRPr="00312389" w:rsidRDefault="00025B97" w:rsidP="00D40EBB">
      <w:pPr>
        <w:spacing w:line="480" w:lineRule="auto"/>
        <w:rPr>
          <w:rFonts w:ascii="Arial" w:hAnsi="Arial" w:cs="Arial"/>
        </w:rPr>
      </w:pPr>
      <w:proofErr w:type="spellStart"/>
      <w:r w:rsidRPr="00312389">
        <w:rPr>
          <w:rFonts w:ascii="Arial" w:hAnsi="Arial" w:cs="Arial"/>
        </w:rPr>
        <w:t>Iden</w:t>
      </w:r>
      <w:proofErr w:type="spellEnd"/>
      <w:r w:rsidRPr="00312389">
        <w:rPr>
          <w:rFonts w:ascii="Arial" w:hAnsi="Arial" w:cs="Arial"/>
        </w:rPr>
        <w:t xml:space="preserve">, J. (2009). </w:t>
      </w:r>
      <w:r w:rsidRPr="00064CDC">
        <w:rPr>
          <w:rFonts w:ascii="Arial" w:hAnsi="Arial" w:cs="Arial"/>
          <w:u w:val="single"/>
        </w:rPr>
        <w:t>Implementing IT service management: Lessons learned from a university IT department</w:t>
      </w:r>
      <w:r w:rsidRPr="00312389">
        <w:rPr>
          <w:rFonts w:ascii="Arial" w:hAnsi="Arial" w:cs="Arial"/>
        </w:rPr>
        <w:t xml:space="preserve">. In </w:t>
      </w:r>
      <w:r w:rsidRPr="00312389">
        <w:rPr>
          <w:rFonts w:ascii="Arial" w:hAnsi="Arial" w:cs="Arial"/>
          <w:i/>
        </w:rPr>
        <w:t>Information technology governance and service management: Frameworks and adaptations</w:t>
      </w:r>
      <w:r w:rsidRPr="00312389">
        <w:rPr>
          <w:rFonts w:ascii="Arial" w:hAnsi="Arial" w:cs="Arial"/>
        </w:rPr>
        <w:t>​ (pp. 333-349). IGI Global.</w:t>
      </w:r>
    </w:p>
    <w:p w14:paraId="196284C4" w14:textId="69C50D3B" w:rsidR="00D2233A" w:rsidRPr="00312389" w:rsidRDefault="00642D5B" w:rsidP="00D40EBB">
      <w:pPr>
        <w:spacing w:line="480" w:lineRule="auto"/>
        <w:rPr>
          <w:rFonts w:ascii="Arial" w:hAnsi="Arial" w:cs="Arial"/>
        </w:rPr>
      </w:pPr>
      <w:r w:rsidRPr="00312389">
        <w:rPr>
          <w:rFonts w:ascii="Arial" w:hAnsi="Arial" w:cs="Arial"/>
        </w:rPr>
        <w:t>Jensen, M.S.</w:t>
      </w:r>
      <w:r w:rsidR="003D1764" w:rsidRPr="00312389">
        <w:rPr>
          <w:rFonts w:ascii="Arial" w:hAnsi="Arial" w:cs="Arial"/>
        </w:rPr>
        <w:t xml:space="preserve"> (</w:t>
      </w:r>
      <w:r w:rsidRPr="00312389">
        <w:rPr>
          <w:rFonts w:ascii="Arial" w:hAnsi="Arial" w:cs="Arial"/>
        </w:rPr>
        <w:t>2018</w:t>
      </w:r>
      <w:r w:rsidR="003D1764" w:rsidRPr="00312389">
        <w:rPr>
          <w:rFonts w:ascii="Arial" w:hAnsi="Arial" w:cs="Arial"/>
        </w:rPr>
        <w:t>)</w:t>
      </w:r>
      <w:r w:rsidRPr="00312389">
        <w:rPr>
          <w:rFonts w:ascii="Arial" w:hAnsi="Arial" w:cs="Arial"/>
        </w:rPr>
        <w:t xml:space="preserve">. </w:t>
      </w:r>
      <w:r w:rsidRPr="00064CDC">
        <w:rPr>
          <w:rFonts w:ascii="Arial" w:hAnsi="Arial" w:cs="Arial"/>
          <w:u w:val="single"/>
        </w:rPr>
        <w:t>Sector Responsibility or Sector Task? New Cyber Strategy Occasion for Rethinking the Danish Sector Responsibility Principle</w:t>
      </w:r>
      <w:r w:rsidRPr="00312389">
        <w:rPr>
          <w:rFonts w:ascii="Arial" w:hAnsi="Arial" w:cs="Arial"/>
        </w:rPr>
        <w:t>. </w:t>
      </w:r>
      <w:r w:rsidRPr="00312389">
        <w:rPr>
          <w:rFonts w:ascii="Arial" w:hAnsi="Arial" w:cs="Arial"/>
          <w:i/>
          <w:iCs/>
        </w:rPr>
        <w:t>Scandinavian Journal of Military Studies</w:t>
      </w:r>
      <w:r w:rsidRPr="00312389">
        <w:rPr>
          <w:rFonts w:ascii="Arial" w:hAnsi="Arial" w:cs="Arial"/>
        </w:rPr>
        <w:t>, </w:t>
      </w:r>
      <w:r w:rsidRPr="00312389">
        <w:rPr>
          <w:rFonts w:ascii="Arial" w:hAnsi="Arial" w:cs="Arial"/>
          <w:i/>
          <w:iCs/>
        </w:rPr>
        <w:t>1</w:t>
      </w:r>
      <w:r w:rsidRPr="00312389">
        <w:rPr>
          <w:rFonts w:ascii="Arial" w:hAnsi="Arial" w:cs="Arial"/>
        </w:rPr>
        <w:t>(1).</w:t>
      </w:r>
    </w:p>
    <w:p w14:paraId="43A67E4B" w14:textId="77777777" w:rsidR="00770263" w:rsidRPr="00312389" w:rsidRDefault="00770263" w:rsidP="00D40EBB">
      <w:pPr>
        <w:spacing w:line="480" w:lineRule="auto"/>
        <w:rPr>
          <w:rFonts w:ascii="Arial" w:hAnsi="Arial" w:cs="Arial"/>
        </w:rPr>
      </w:pPr>
      <w:r w:rsidRPr="00312389">
        <w:rPr>
          <w:rFonts w:ascii="Arial" w:hAnsi="Arial" w:cs="Arial"/>
        </w:rPr>
        <w:t xml:space="preserve">Johnston, M.P. (2017). </w:t>
      </w:r>
      <w:r w:rsidRPr="00064CDC">
        <w:rPr>
          <w:rFonts w:ascii="Arial" w:hAnsi="Arial" w:cs="Arial"/>
          <w:u w:val="single"/>
        </w:rPr>
        <w:t>Secondary data analysis: A method of which the time has come</w:t>
      </w:r>
      <w:r w:rsidRPr="00312389">
        <w:rPr>
          <w:rFonts w:ascii="Arial" w:hAnsi="Arial" w:cs="Arial"/>
        </w:rPr>
        <w:t>. </w:t>
      </w:r>
      <w:r w:rsidRPr="00312389">
        <w:rPr>
          <w:rFonts w:ascii="Arial" w:hAnsi="Arial" w:cs="Arial"/>
          <w:i/>
          <w:iCs/>
        </w:rPr>
        <w:t>Qualitative and quantitative methods in libraries</w:t>
      </w:r>
      <w:r w:rsidRPr="00312389">
        <w:rPr>
          <w:rFonts w:ascii="Arial" w:hAnsi="Arial" w:cs="Arial"/>
        </w:rPr>
        <w:t>, </w:t>
      </w:r>
      <w:r w:rsidRPr="00312389">
        <w:rPr>
          <w:rFonts w:ascii="Arial" w:hAnsi="Arial" w:cs="Arial"/>
          <w:i/>
          <w:iCs/>
        </w:rPr>
        <w:t>3</w:t>
      </w:r>
      <w:r w:rsidRPr="00312389">
        <w:rPr>
          <w:rFonts w:ascii="Arial" w:hAnsi="Arial" w:cs="Arial"/>
        </w:rPr>
        <w:t>(3), pp.619-626.</w:t>
      </w:r>
    </w:p>
    <w:p w14:paraId="2F0CC52F" w14:textId="77777777" w:rsidR="00770263" w:rsidRPr="00312389" w:rsidRDefault="00770263" w:rsidP="00D40EBB">
      <w:pPr>
        <w:spacing w:line="480" w:lineRule="auto"/>
        <w:rPr>
          <w:rFonts w:ascii="Arial" w:hAnsi="Arial" w:cs="Arial"/>
        </w:rPr>
      </w:pPr>
      <w:proofErr w:type="spellStart"/>
      <w:r w:rsidRPr="00312389">
        <w:rPr>
          <w:rFonts w:ascii="Arial" w:hAnsi="Arial" w:cs="Arial"/>
        </w:rPr>
        <w:t>Khallaf</w:t>
      </w:r>
      <w:proofErr w:type="spellEnd"/>
      <w:r w:rsidRPr="00312389">
        <w:rPr>
          <w:rFonts w:ascii="Arial" w:hAnsi="Arial" w:cs="Arial"/>
        </w:rPr>
        <w:t xml:space="preserve">, A., </w:t>
      </w:r>
      <w:proofErr w:type="spellStart"/>
      <w:r w:rsidRPr="00312389">
        <w:rPr>
          <w:rFonts w:ascii="Arial" w:hAnsi="Arial" w:cs="Arial"/>
        </w:rPr>
        <w:t>Omran</w:t>
      </w:r>
      <w:proofErr w:type="spellEnd"/>
      <w:r w:rsidRPr="00312389">
        <w:rPr>
          <w:rFonts w:ascii="Arial" w:hAnsi="Arial" w:cs="Arial"/>
        </w:rPr>
        <w:t xml:space="preserve">, M.A. and </w:t>
      </w:r>
      <w:proofErr w:type="spellStart"/>
      <w:r w:rsidRPr="00312389">
        <w:rPr>
          <w:rFonts w:ascii="Arial" w:hAnsi="Arial" w:cs="Arial"/>
        </w:rPr>
        <w:t>Zakaria</w:t>
      </w:r>
      <w:proofErr w:type="spellEnd"/>
      <w:r w:rsidRPr="00312389">
        <w:rPr>
          <w:rFonts w:ascii="Arial" w:hAnsi="Arial" w:cs="Arial"/>
        </w:rPr>
        <w:t xml:space="preserve">, T. (2017). </w:t>
      </w:r>
      <w:r w:rsidRPr="005C4E1E">
        <w:rPr>
          <w:rFonts w:ascii="Arial" w:hAnsi="Arial" w:cs="Arial"/>
          <w:u w:val="single"/>
        </w:rPr>
        <w:t xml:space="preserve">Explaining the inconsistent results of the impact of information technology investments on firm performance: </w:t>
      </w:r>
      <w:r w:rsidRPr="005C4E1E">
        <w:rPr>
          <w:rFonts w:ascii="Arial" w:hAnsi="Arial" w:cs="Arial"/>
          <w:u w:val="single"/>
        </w:rPr>
        <w:lastRenderedPageBreak/>
        <w:t>A longitudinal analysis</w:t>
      </w:r>
      <w:r w:rsidRPr="00312389">
        <w:rPr>
          <w:rFonts w:ascii="Arial" w:hAnsi="Arial" w:cs="Arial"/>
        </w:rPr>
        <w:t>. Journal of Accounting &amp; Organizational Change, 13(3), pp.359-380.</w:t>
      </w:r>
    </w:p>
    <w:p w14:paraId="7DDBCFF4" w14:textId="77777777" w:rsidR="00770263" w:rsidRPr="00312389" w:rsidRDefault="00770263" w:rsidP="00D40EBB">
      <w:pPr>
        <w:spacing w:line="480" w:lineRule="auto"/>
        <w:rPr>
          <w:rFonts w:ascii="Arial" w:hAnsi="Arial" w:cs="Arial"/>
        </w:rPr>
      </w:pPr>
      <w:r w:rsidRPr="00312389">
        <w:rPr>
          <w:rFonts w:ascii="Arial" w:hAnsi="Arial" w:cs="Arial"/>
        </w:rPr>
        <w:t xml:space="preserve">Khan, S.N., </w:t>
      </w:r>
      <w:proofErr w:type="spellStart"/>
      <w:r w:rsidRPr="00312389">
        <w:rPr>
          <w:rFonts w:ascii="Arial" w:hAnsi="Arial" w:cs="Arial"/>
        </w:rPr>
        <w:t>Nicho</w:t>
      </w:r>
      <w:proofErr w:type="spellEnd"/>
      <w:r w:rsidRPr="00312389">
        <w:rPr>
          <w:rFonts w:ascii="Arial" w:hAnsi="Arial" w:cs="Arial"/>
        </w:rPr>
        <w:t xml:space="preserve">, M., </w:t>
      </w:r>
      <w:proofErr w:type="spellStart"/>
      <w:r w:rsidRPr="00312389">
        <w:rPr>
          <w:rFonts w:ascii="Arial" w:hAnsi="Arial" w:cs="Arial"/>
        </w:rPr>
        <w:t>Takruri</w:t>
      </w:r>
      <w:proofErr w:type="spellEnd"/>
      <w:r w:rsidRPr="00312389">
        <w:rPr>
          <w:rFonts w:ascii="Arial" w:hAnsi="Arial" w:cs="Arial"/>
        </w:rPr>
        <w:t xml:space="preserve">, H., </w:t>
      </w:r>
      <w:proofErr w:type="spellStart"/>
      <w:r w:rsidRPr="00312389">
        <w:rPr>
          <w:rFonts w:ascii="Arial" w:hAnsi="Arial" w:cs="Arial"/>
        </w:rPr>
        <w:t>Maamar</w:t>
      </w:r>
      <w:proofErr w:type="spellEnd"/>
      <w:r w:rsidRPr="00312389">
        <w:rPr>
          <w:rFonts w:ascii="Arial" w:hAnsi="Arial" w:cs="Arial"/>
        </w:rPr>
        <w:t xml:space="preserve">, Z. and </w:t>
      </w:r>
      <w:proofErr w:type="spellStart"/>
      <w:r w:rsidRPr="00312389">
        <w:rPr>
          <w:rFonts w:ascii="Arial" w:hAnsi="Arial" w:cs="Arial"/>
        </w:rPr>
        <w:t>Kamoun</w:t>
      </w:r>
      <w:proofErr w:type="spellEnd"/>
      <w:r w:rsidRPr="00312389">
        <w:rPr>
          <w:rFonts w:ascii="Arial" w:hAnsi="Arial" w:cs="Arial"/>
        </w:rPr>
        <w:t xml:space="preserve">, F. (2019). </w:t>
      </w:r>
      <w:r w:rsidRPr="005C4E1E">
        <w:rPr>
          <w:rFonts w:ascii="Arial" w:hAnsi="Arial" w:cs="Arial"/>
          <w:u w:val="single"/>
        </w:rPr>
        <w:t>Role assigning and taking in cloud computing</w:t>
      </w:r>
      <w:r w:rsidRPr="00312389">
        <w:rPr>
          <w:rFonts w:ascii="Arial" w:hAnsi="Arial" w:cs="Arial"/>
        </w:rPr>
        <w:t>. </w:t>
      </w:r>
      <w:r w:rsidRPr="00312389">
        <w:rPr>
          <w:rFonts w:ascii="Arial" w:hAnsi="Arial" w:cs="Arial"/>
          <w:i/>
          <w:iCs/>
        </w:rPr>
        <w:t>Human Systems Management</w:t>
      </w:r>
      <w:r w:rsidRPr="00312389">
        <w:rPr>
          <w:rFonts w:ascii="Arial" w:hAnsi="Arial" w:cs="Arial"/>
        </w:rPr>
        <w:t>, </w:t>
      </w:r>
      <w:r w:rsidRPr="00312389">
        <w:rPr>
          <w:rFonts w:ascii="Arial" w:hAnsi="Arial" w:cs="Arial"/>
          <w:i/>
          <w:iCs/>
        </w:rPr>
        <w:t>38</w:t>
      </w:r>
      <w:r w:rsidRPr="00312389">
        <w:rPr>
          <w:rFonts w:ascii="Arial" w:hAnsi="Arial" w:cs="Arial"/>
        </w:rPr>
        <w:t>(1), pp.1-27.</w:t>
      </w:r>
    </w:p>
    <w:p w14:paraId="6E1DE9ED" w14:textId="2A82FACA" w:rsidR="00770263" w:rsidRPr="00312389" w:rsidRDefault="00770263" w:rsidP="00D40EBB">
      <w:pPr>
        <w:spacing w:line="480" w:lineRule="auto"/>
        <w:rPr>
          <w:rFonts w:ascii="Arial" w:hAnsi="Arial" w:cs="Arial"/>
        </w:rPr>
      </w:pPr>
      <w:proofErr w:type="spellStart"/>
      <w:r w:rsidRPr="00312389">
        <w:rPr>
          <w:rFonts w:ascii="Arial" w:hAnsi="Arial" w:cs="Arial"/>
        </w:rPr>
        <w:t>Laurenza</w:t>
      </w:r>
      <w:proofErr w:type="spellEnd"/>
      <w:r w:rsidRPr="00312389">
        <w:rPr>
          <w:rFonts w:ascii="Arial" w:hAnsi="Arial" w:cs="Arial"/>
        </w:rPr>
        <w:t xml:space="preserve">, E., </w:t>
      </w:r>
      <w:proofErr w:type="spellStart"/>
      <w:r w:rsidRPr="00312389">
        <w:rPr>
          <w:rFonts w:ascii="Arial" w:hAnsi="Arial" w:cs="Arial"/>
        </w:rPr>
        <w:t>Quintano</w:t>
      </w:r>
      <w:proofErr w:type="spellEnd"/>
      <w:r w:rsidRPr="00312389">
        <w:rPr>
          <w:rFonts w:ascii="Arial" w:hAnsi="Arial" w:cs="Arial"/>
        </w:rPr>
        <w:t xml:space="preserve">, M., </w:t>
      </w:r>
      <w:proofErr w:type="spellStart"/>
      <w:r w:rsidRPr="00312389">
        <w:rPr>
          <w:rFonts w:ascii="Arial" w:hAnsi="Arial" w:cs="Arial"/>
        </w:rPr>
        <w:t>Schiavone</w:t>
      </w:r>
      <w:proofErr w:type="spellEnd"/>
      <w:r w:rsidRPr="00312389">
        <w:rPr>
          <w:rFonts w:ascii="Arial" w:hAnsi="Arial" w:cs="Arial"/>
        </w:rPr>
        <w:t xml:space="preserve">, F. and </w:t>
      </w:r>
      <w:proofErr w:type="spellStart"/>
      <w:r w:rsidRPr="00312389">
        <w:rPr>
          <w:rFonts w:ascii="Arial" w:hAnsi="Arial" w:cs="Arial"/>
        </w:rPr>
        <w:t>Vrontis</w:t>
      </w:r>
      <w:proofErr w:type="spellEnd"/>
      <w:r w:rsidRPr="00312389">
        <w:rPr>
          <w:rFonts w:ascii="Arial" w:hAnsi="Arial" w:cs="Arial"/>
        </w:rPr>
        <w:t xml:space="preserve">, D. (2018). </w:t>
      </w:r>
      <w:r w:rsidRPr="005C4E1E">
        <w:rPr>
          <w:rFonts w:ascii="Arial" w:hAnsi="Arial" w:cs="Arial"/>
          <w:u w:val="single"/>
        </w:rPr>
        <w:t>The effect of digital technologies adoption in healthcare industry: a case based analysis</w:t>
      </w:r>
      <w:r w:rsidRPr="00312389">
        <w:rPr>
          <w:rFonts w:ascii="Arial" w:hAnsi="Arial" w:cs="Arial"/>
        </w:rPr>
        <w:t>. Business Process Management Journal, 24(5), pp.1124-1144.</w:t>
      </w:r>
    </w:p>
    <w:p w14:paraId="19095A9B" w14:textId="7746F5D3" w:rsidR="00D2233A" w:rsidRPr="00312389" w:rsidRDefault="00D2233A" w:rsidP="00D40EBB">
      <w:pPr>
        <w:spacing w:line="480" w:lineRule="auto"/>
        <w:rPr>
          <w:rFonts w:ascii="Arial" w:hAnsi="Arial" w:cs="Arial"/>
        </w:rPr>
      </w:pPr>
      <w:proofErr w:type="spellStart"/>
      <w:r w:rsidRPr="00312389">
        <w:rPr>
          <w:rFonts w:ascii="Arial" w:hAnsi="Arial" w:cs="Arial"/>
        </w:rPr>
        <w:t>Lelarge</w:t>
      </w:r>
      <w:proofErr w:type="spellEnd"/>
      <w:r w:rsidRPr="00312389">
        <w:rPr>
          <w:rFonts w:ascii="Arial" w:hAnsi="Arial" w:cs="Arial"/>
        </w:rPr>
        <w:t xml:space="preserve">, M. and </w:t>
      </w:r>
      <w:proofErr w:type="spellStart"/>
      <w:r w:rsidRPr="00312389">
        <w:rPr>
          <w:rFonts w:ascii="Arial" w:hAnsi="Arial" w:cs="Arial"/>
        </w:rPr>
        <w:t>Bolot</w:t>
      </w:r>
      <w:proofErr w:type="spellEnd"/>
      <w:r w:rsidRPr="00312389">
        <w:rPr>
          <w:rFonts w:ascii="Arial" w:hAnsi="Arial" w:cs="Arial"/>
        </w:rPr>
        <w:t xml:space="preserve">, J. (2009), April. </w:t>
      </w:r>
      <w:r w:rsidRPr="005C4E1E">
        <w:rPr>
          <w:rFonts w:ascii="Arial" w:hAnsi="Arial" w:cs="Arial"/>
          <w:u w:val="single"/>
        </w:rPr>
        <w:t>Economic incentives to increase security in the internet: The case for insurance</w:t>
      </w:r>
      <w:r w:rsidRPr="00312389">
        <w:rPr>
          <w:rFonts w:ascii="Arial" w:hAnsi="Arial" w:cs="Arial"/>
        </w:rPr>
        <w:t>. In ​</w:t>
      </w:r>
      <w:r w:rsidRPr="00312389">
        <w:rPr>
          <w:rFonts w:ascii="Arial" w:hAnsi="Arial" w:cs="Arial"/>
          <w:i/>
        </w:rPr>
        <w:t>IEEE INFOCOM 2009</w:t>
      </w:r>
      <w:r w:rsidRPr="00312389">
        <w:rPr>
          <w:rFonts w:ascii="Arial" w:hAnsi="Arial" w:cs="Arial"/>
        </w:rPr>
        <w:t>​ (pp. 1494-1502). IEEE.</w:t>
      </w:r>
    </w:p>
    <w:p w14:paraId="552EC99F" w14:textId="77777777" w:rsidR="00770263" w:rsidRPr="00312389" w:rsidRDefault="00D2233A" w:rsidP="00D40EBB">
      <w:pPr>
        <w:spacing w:line="480" w:lineRule="auto"/>
        <w:rPr>
          <w:rFonts w:ascii="Arial" w:hAnsi="Arial" w:cs="Arial"/>
        </w:rPr>
      </w:pPr>
      <w:proofErr w:type="spellStart"/>
      <w:r w:rsidRPr="00312389">
        <w:rPr>
          <w:rFonts w:ascii="Arial" w:hAnsi="Arial" w:cs="Arial"/>
        </w:rPr>
        <w:t>Leszczyna</w:t>
      </w:r>
      <w:proofErr w:type="spellEnd"/>
      <w:r w:rsidRPr="00312389">
        <w:rPr>
          <w:rFonts w:ascii="Arial" w:hAnsi="Arial" w:cs="Arial"/>
        </w:rPr>
        <w:t xml:space="preserve">, R. (2018). </w:t>
      </w:r>
      <w:r w:rsidRPr="005C4E1E">
        <w:rPr>
          <w:rFonts w:ascii="Arial" w:hAnsi="Arial" w:cs="Arial"/>
          <w:u w:val="single"/>
        </w:rPr>
        <w:t>A review of standards with cybersecurity requirements for smart grid</w:t>
      </w:r>
      <w:r w:rsidRPr="00312389">
        <w:rPr>
          <w:rFonts w:ascii="Arial" w:hAnsi="Arial" w:cs="Arial"/>
        </w:rPr>
        <w:t>. ​</w:t>
      </w:r>
      <w:r w:rsidRPr="00312389">
        <w:rPr>
          <w:rFonts w:ascii="Arial" w:hAnsi="Arial" w:cs="Arial"/>
          <w:i/>
        </w:rPr>
        <w:t>Computers &amp; Security</w:t>
      </w:r>
      <w:r w:rsidRPr="00312389">
        <w:rPr>
          <w:rFonts w:ascii="Arial" w:hAnsi="Arial" w:cs="Arial"/>
        </w:rPr>
        <w:t>​, ​</w:t>
      </w:r>
      <w:r w:rsidRPr="00312389">
        <w:rPr>
          <w:rFonts w:ascii="Arial" w:hAnsi="Arial" w:cs="Arial"/>
          <w:i/>
        </w:rPr>
        <w:t>77</w:t>
      </w:r>
      <w:r w:rsidRPr="00312389">
        <w:rPr>
          <w:rFonts w:ascii="Arial" w:hAnsi="Arial" w:cs="Arial"/>
        </w:rPr>
        <w:t>​, pp.262-276.</w:t>
      </w:r>
    </w:p>
    <w:p w14:paraId="6F9C6D19" w14:textId="30A56C0C" w:rsidR="00770263" w:rsidRPr="00312389" w:rsidRDefault="00770263" w:rsidP="00D40EBB">
      <w:pPr>
        <w:spacing w:line="480" w:lineRule="auto"/>
        <w:rPr>
          <w:rFonts w:ascii="Arial" w:hAnsi="Arial" w:cs="Arial"/>
        </w:rPr>
      </w:pPr>
      <w:r w:rsidRPr="00312389">
        <w:rPr>
          <w:rFonts w:ascii="Arial" w:hAnsi="Arial" w:cs="Arial"/>
        </w:rPr>
        <w:t xml:space="preserve">Lowry, P.B., D’Arcy, J., Hammer, B. and Moody, G.D. (2016). </w:t>
      </w:r>
      <w:r w:rsidRPr="005C4E1E">
        <w:rPr>
          <w:rFonts w:ascii="Arial" w:hAnsi="Arial" w:cs="Arial"/>
          <w:u w:val="single"/>
        </w:rPr>
        <w:t xml:space="preserve">“Cargo Cult” science in traditional organization and information systems survey research: A case for using </w:t>
      </w:r>
      <w:proofErr w:type="spellStart"/>
      <w:r w:rsidRPr="005C4E1E">
        <w:rPr>
          <w:rFonts w:ascii="Arial" w:hAnsi="Arial" w:cs="Arial"/>
          <w:u w:val="single"/>
        </w:rPr>
        <w:t>nontraditional</w:t>
      </w:r>
      <w:proofErr w:type="spellEnd"/>
      <w:r w:rsidRPr="005C4E1E">
        <w:rPr>
          <w:rFonts w:ascii="Arial" w:hAnsi="Arial" w:cs="Arial"/>
          <w:u w:val="single"/>
        </w:rPr>
        <w:t xml:space="preserve"> methods of data collection, including Mechanical Turk and online panels.</w:t>
      </w:r>
      <w:r w:rsidRPr="00312389">
        <w:rPr>
          <w:rFonts w:ascii="Arial" w:hAnsi="Arial" w:cs="Arial"/>
        </w:rPr>
        <w:t> </w:t>
      </w:r>
      <w:r w:rsidRPr="00312389">
        <w:rPr>
          <w:rFonts w:ascii="Arial" w:hAnsi="Arial" w:cs="Arial"/>
          <w:i/>
          <w:iCs/>
        </w:rPr>
        <w:t>The Journal of Strategic Information Systems</w:t>
      </w:r>
      <w:r w:rsidRPr="00312389">
        <w:rPr>
          <w:rFonts w:ascii="Arial" w:hAnsi="Arial" w:cs="Arial"/>
        </w:rPr>
        <w:t>, </w:t>
      </w:r>
      <w:r w:rsidRPr="00312389">
        <w:rPr>
          <w:rFonts w:ascii="Arial" w:hAnsi="Arial" w:cs="Arial"/>
          <w:i/>
          <w:iCs/>
        </w:rPr>
        <w:t>25</w:t>
      </w:r>
      <w:r w:rsidRPr="00312389">
        <w:rPr>
          <w:rFonts w:ascii="Arial" w:hAnsi="Arial" w:cs="Arial"/>
        </w:rPr>
        <w:t>(3), pp.232-240.</w:t>
      </w:r>
    </w:p>
    <w:p w14:paraId="607E4A56" w14:textId="77777777" w:rsidR="00770263" w:rsidRPr="00312389" w:rsidRDefault="00D2233A" w:rsidP="00D40EBB">
      <w:pPr>
        <w:spacing w:line="480" w:lineRule="auto"/>
        <w:rPr>
          <w:rFonts w:ascii="Arial" w:hAnsi="Arial" w:cs="Arial"/>
        </w:rPr>
      </w:pPr>
      <w:r w:rsidRPr="00312389">
        <w:rPr>
          <w:rFonts w:ascii="Arial" w:hAnsi="Arial" w:cs="Arial"/>
        </w:rPr>
        <w:t>Lynch, R.L. and Smith, J.R. (2006). ​</w:t>
      </w:r>
      <w:r w:rsidRPr="00D72EE4">
        <w:rPr>
          <w:rFonts w:ascii="Arial" w:hAnsi="Arial" w:cs="Arial"/>
          <w:iCs/>
          <w:u w:val="single"/>
        </w:rPr>
        <w:t>Corporate strategy</w:t>
      </w:r>
      <w:r w:rsidRPr="00D72EE4">
        <w:rPr>
          <w:rFonts w:ascii="Arial" w:hAnsi="Arial" w:cs="Arial"/>
          <w:iCs/>
        </w:rPr>
        <w:t>​</w:t>
      </w:r>
      <w:r w:rsidRPr="00312389">
        <w:rPr>
          <w:rFonts w:ascii="Arial" w:hAnsi="Arial" w:cs="Arial"/>
        </w:rPr>
        <w:t>. Harlow, England: FT/Prentice Hall.</w:t>
      </w:r>
    </w:p>
    <w:p w14:paraId="347B64EC" w14:textId="6994273F" w:rsidR="00770263" w:rsidRPr="00312389" w:rsidRDefault="00770263" w:rsidP="00D40EBB">
      <w:pPr>
        <w:spacing w:line="480" w:lineRule="auto"/>
        <w:rPr>
          <w:rFonts w:ascii="Arial" w:hAnsi="Arial" w:cs="Arial"/>
        </w:rPr>
      </w:pPr>
      <w:r w:rsidRPr="00312389">
        <w:rPr>
          <w:rFonts w:ascii="Arial" w:hAnsi="Arial" w:cs="Arial"/>
        </w:rPr>
        <w:t xml:space="preserve">Mahmood, M.A. and Mann, G.J. (1993). </w:t>
      </w:r>
      <w:r w:rsidRPr="005C4E1E">
        <w:rPr>
          <w:rFonts w:ascii="Arial" w:hAnsi="Arial" w:cs="Arial"/>
          <w:u w:val="single"/>
        </w:rPr>
        <w:t>Measuring the organizational impact of information technology investment: an exploratory study</w:t>
      </w:r>
      <w:r w:rsidRPr="00312389">
        <w:rPr>
          <w:rFonts w:ascii="Arial" w:hAnsi="Arial" w:cs="Arial"/>
        </w:rPr>
        <w:t>. Journal of management information systems, 10(1), pp.97-122.</w:t>
      </w:r>
    </w:p>
    <w:p w14:paraId="2A339102" w14:textId="12AC791A" w:rsidR="00770263" w:rsidRPr="00312389" w:rsidRDefault="00770263" w:rsidP="00D40EBB">
      <w:pPr>
        <w:spacing w:line="480" w:lineRule="auto"/>
        <w:rPr>
          <w:rFonts w:ascii="Arial" w:hAnsi="Arial" w:cs="Arial"/>
        </w:rPr>
      </w:pPr>
      <w:proofErr w:type="spellStart"/>
      <w:r w:rsidRPr="00312389">
        <w:rPr>
          <w:rFonts w:ascii="Arial" w:hAnsi="Arial" w:cs="Arial"/>
        </w:rPr>
        <w:lastRenderedPageBreak/>
        <w:t>Makridis</w:t>
      </w:r>
      <w:proofErr w:type="spellEnd"/>
      <w:r w:rsidRPr="00312389">
        <w:rPr>
          <w:rFonts w:ascii="Arial" w:hAnsi="Arial" w:cs="Arial"/>
        </w:rPr>
        <w:t xml:space="preserve">, C.A. and </w:t>
      </w:r>
      <w:proofErr w:type="spellStart"/>
      <w:r w:rsidRPr="00312389">
        <w:rPr>
          <w:rFonts w:ascii="Arial" w:hAnsi="Arial" w:cs="Arial"/>
        </w:rPr>
        <w:t>Smeets</w:t>
      </w:r>
      <w:proofErr w:type="spellEnd"/>
      <w:r w:rsidRPr="00312389">
        <w:rPr>
          <w:rFonts w:ascii="Arial" w:hAnsi="Arial" w:cs="Arial"/>
        </w:rPr>
        <w:t xml:space="preserve">, M. (2019). </w:t>
      </w:r>
      <w:r w:rsidRPr="005C4E1E">
        <w:rPr>
          <w:rFonts w:ascii="Arial" w:hAnsi="Arial" w:cs="Arial"/>
          <w:u w:val="single"/>
        </w:rPr>
        <w:t>Determinants of cyber readiness</w:t>
      </w:r>
      <w:r w:rsidRPr="00312389">
        <w:rPr>
          <w:rFonts w:ascii="Arial" w:hAnsi="Arial" w:cs="Arial"/>
        </w:rPr>
        <w:t>. </w:t>
      </w:r>
      <w:r w:rsidRPr="00312389">
        <w:rPr>
          <w:rFonts w:ascii="Arial" w:hAnsi="Arial" w:cs="Arial"/>
          <w:i/>
          <w:iCs/>
        </w:rPr>
        <w:t>Journal of Cyber Policy</w:t>
      </w:r>
      <w:r w:rsidRPr="00312389">
        <w:rPr>
          <w:rFonts w:ascii="Arial" w:hAnsi="Arial" w:cs="Arial"/>
        </w:rPr>
        <w:t>, </w:t>
      </w:r>
      <w:r w:rsidRPr="00312389">
        <w:rPr>
          <w:rFonts w:ascii="Arial" w:hAnsi="Arial" w:cs="Arial"/>
          <w:i/>
          <w:iCs/>
        </w:rPr>
        <w:t>4</w:t>
      </w:r>
      <w:r w:rsidRPr="00312389">
        <w:rPr>
          <w:rFonts w:ascii="Arial" w:hAnsi="Arial" w:cs="Arial"/>
        </w:rPr>
        <w:t>(1), pp.72-89.</w:t>
      </w:r>
      <w:bookmarkStart w:id="51" w:name="_Hlk27735237"/>
    </w:p>
    <w:p w14:paraId="009BA0AA" w14:textId="77777777" w:rsidR="00B96007" w:rsidRPr="00312389" w:rsidRDefault="00B96007" w:rsidP="00D40EBB">
      <w:pPr>
        <w:spacing w:line="480" w:lineRule="auto"/>
        <w:rPr>
          <w:rFonts w:ascii="Arial" w:hAnsi="Arial" w:cs="Arial"/>
        </w:rPr>
      </w:pPr>
      <w:r w:rsidRPr="00312389">
        <w:rPr>
          <w:rFonts w:ascii="Arial" w:hAnsi="Arial" w:cs="Arial"/>
        </w:rPr>
        <w:t xml:space="preserve">Manville, G., Papadopoulos, T. and </w:t>
      </w:r>
      <w:proofErr w:type="spellStart"/>
      <w:r w:rsidRPr="00312389">
        <w:rPr>
          <w:rFonts w:ascii="Arial" w:hAnsi="Arial" w:cs="Arial"/>
        </w:rPr>
        <w:t>Garengo</w:t>
      </w:r>
      <w:proofErr w:type="spellEnd"/>
      <w:r w:rsidRPr="00312389">
        <w:rPr>
          <w:rFonts w:ascii="Arial" w:hAnsi="Arial" w:cs="Arial"/>
        </w:rPr>
        <w:t xml:space="preserve">, P. (2019). </w:t>
      </w:r>
      <w:r w:rsidRPr="005C4E1E">
        <w:rPr>
          <w:rFonts w:ascii="Arial" w:hAnsi="Arial" w:cs="Arial"/>
          <w:u w:val="single"/>
        </w:rPr>
        <w:t>Twenty-first century supply chain management: a multiple case study analysis within the UK aerospace industry.</w:t>
      </w:r>
      <w:r w:rsidRPr="00312389">
        <w:rPr>
          <w:rFonts w:ascii="Arial" w:hAnsi="Arial" w:cs="Arial"/>
        </w:rPr>
        <w:t> </w:t>
      </w:r>
      <w:r w:rsidRPr="00312389">
        <w:rPr>
          <w:rFonts w:ascii="Arial" w:hAnsi="Arial" w:cs="Arial"/>
          <w:i/>
          <w:iCs/>
        </w:rPr>
        <w:t>Total Quality Management &amp; Business Excellence</w:t>
      </w:r>
      <w:r w:rsidRPr="00312389">
        <w:rPr>
          <w:rFonts w:ascii="Arial" w:hAnsi="Arial" w:cs="Arial"/>
        </w:rPr>
        <w:t>, pp.1-17.</w:t>
      </w:r>
    </w:p>
    <w:p w14:paraId="44B4F82C" w14:textId="18312223" w:rsidR="00D2233A" w:rsidRPr="00312389" w:rsidRDefault="00D2233A" w:rsidP="00D40EBB">
      <w:pPr>
        <w:spacing w:line="480" w:lineRule="auto"/>
        <w:rPr>
          <w:rFonts w:ascii="Arial" w:hAnsi="Arial" w:cs="Arial"/>
        </w:rPr>
      </w:pPr>
      <w:proofErr w:type="spellStart"/>
      <w:r w:rsidRPr="00312389">
        <w:rPr>
          <w:rFonts w:ascii="Arial" w:hAnsi="Arial" w:cs="Arial"/>
        </w:rPr>
        <w:t>Manyika</w:t>
      </w:r>
      <w:proofErr w:type="spellEnd"/>
      <w:r w:rsidRPr="00312389">
        <w:rPr>
          <w:rFonts w:ascii="Arial" w:hAnsi="Arial" w:cs="Arial"/>
        </w:rPr>
        <w:t xml:space="preserve">, J. (2017). </w:t>
      </w:r>
      <w:r w:rsidRPr="006F2FC0">
        <w:rPr>
          <w:rFonts w:ascii="Arial" w:hAnsi="Arial" w:cs="Arial"/>
          <w:u w:val="single"/>
        </w:rPr>
        <w:t xml:space="preserve">A future that works: AI automation employment and productivity. </w:t>
      </w:r>
      <w:r w:rsidRPr="0063208C">
        <w:rPr>
          <w:rFonts w:ascii="Arial" w:hAnsi="Arial" w:cs="Arial"/>
        </w:rPr>
        <w:t>​</w:t>
      </w:r>
      <w:r w:rsidRPr="0063208C">
        <w:rPr>
          <w:rFonts w:ascii="Arial" w:hAnsi="Arial" w:cs="Arial"/>
          <w:i/>
        </w:rPr>
        <w:t>McKinsey Global Institute Research, Tech. Rep</w:t>
      </w:r>
      <w:r w:rsidRPr="00312389">
        <w:rPr>
          <w:rFonts w:ascii="Arial" w:hAnsi="Arial" w:cs="Arial"/>
          <w:i/>
        </w:rPr>
        <w:t xml:space="preserve">. </w:t>
      </w:r>
      <w:r w:rsidRPr="00312389">
        <w:rPr>
          <w:rFonts w:ascii="Arial" w:hAnsi="Arial" w:cs="Arial"/>
          <w:iCs/>
        </w:rPr>
        <w:t xml:space="preserve">Available at </w:t>
      </w:r>
      <w:r w:rsidRPr="00312389">
        <w:rPr>
          <w:rFonts w:ascii="Arial" w:hAnsi="Arial" w:cs="Arial"/>
        </w:rPr>
        <w:t xml:space="preserve">https://www.jbs.cam.ac.uk/fileadmin/user_upload/research/centres/risk/downloads/170622-slides-manyika.pdf (Accessed: 22 </w:t>
      </w:r>
      <w:r w:rsidR="00895EB8">
        <w:rPr>
          <w:rFonts w:ascii="Arial" w:hAnsi="Arial" w:cs="Arial"/>
        </w:rPr>
        <w:t>March</w:t>
      </w:r>
      <w:r w:rsidRPr="00312389">
        <w:rPr>
          <w:rFonts w:ascii="Arial" w:hAnsi="Arial" w:cs="Arial"/>
        </w:rPr>
        <w:t xml:space="preserve"> 20</w:t>
      </w:r>
      <w:r w:rsidR="00C86B0F">
        <w:rPr>
          <w:rFonts w:ascii="Arial" w:hAnsi="Arial" w:cs="Arial"/>
        </w:rPr>
        <w:t>21</w:t>
      </w:r>
      <w:r w:rsidRPr="00312389">
        <w:rPr>
          <w:rFonts w:ascii="Arial" w:hAnsi="Arial" w:cs="Arial"/>
        </w:rPr>
        <w:t>)</w:t>
      </w:r>
    </w:p>
    <w:bookmarkEnd w:id="51"/>
    <w:p w14:paraId="4B275116" w14:textId="77777777" w:rsidR="00D2233A" w:rsidRPr="00312389" w:rsidRDefault="00D2233A" w:rsidP="00D40EBB">
      <w:pPr>
        <w:spacing w:line="480" w:lineRule="auto"/>
        <w:rPr>
          <w:rFonts w:ascii="Arial" w:hAnsi="Arial" w:cs="Arial"/>
        </w:rPr>
      </w:pPr>
      <w:r w:rsidRPr="00312389">
        <w:rPr>
          <w:rFonts w:ascii="Arial" w:hAnsi="Arial" w:cs="Arial"/>
        </w:rPr>
        <w:t>Matthews, R. ed. (2019). ​</w:t>
      </w:r>
      <w:r w:rsidRPr="0063208C">
        <w:rPr>
          <w:rFonts w:ascii="Arial" w:hAnsi="Arial" w:cs="Arial"/>
          <w:iCs/>
          <w:u w:val="single"/>
        </w:rPr>
        <w:t>The Political Economy of Defence</w:t>
      </w:r>
      <w:r w:rsidRPr="0063208C">
        <w:rPr>
          <w:rFonts w:ascii="Arial" w:hAnsi="Arial" w:cs="Arial"/>
          <w:iCs/>
        </w:rPr>
        <w:t>​.</w:t>
      </w:r>
      <w:r w:rsidRPr="00312389">
        <w:rPr>
          <w:rFonts w:ascii="Arial" w:hAnsi="Arial" w:cs="Arial"/>
        </w:rPr>
        <w:t xml:space="preserve"> England: Cambridge University Press.</w:t>
      </w:r>
    </w:p>
    <w:p w14:paraId="42191A6A" w14:textId="4BD52633" w:rsidR="00D2233A" w:rsidRPr="00312389" w:rsidRDefault="00D2233A" w:rsidP="00D40EBB">
      <w:pPr>
        <w:spacing w:line="480" w:lineRule="auto"/>
        <w:rPr>
          <w:rFonts w:ascii="Arial" w:hAnsi="Arial" w:cs="Arial"/>
        </w:rPr>
      </w:pPr>
      <w:r w:rsidRPr="00312389">
        <w:rPr>
          <w:rFonts w:ascii="Arial" w:hAnsi="Arial" w:cs="Arial"/>
        </w:rPr>
        <w:t xml:space="preserve">Matten, D. and Moon, J. (2008). </w:t>
      </w:r>
      <w:r w:rsidRPr="006F2FC0">
        <w:rPr>
          <w:rFonts w:ascii="Arial" w:hAnsi="Arial" w:cs="Arial"/>
          <w:u w:val="single"/>
        </w:rPr>
        <w:t>“Implicit” and “explicit” CSR: A conceptual framework for a comparative understanding of corporate social responsibility</w:t>
      </w:r>
      <w:r w:rsidRPr="00312389">
        <w:rPr>
          <w:rFonts w:ascii="Arial" w:hAnsi="Arial" w:cs="Arial"/>
        </w:rPr>
        <w:t>. ​</w:t>
      </w:r>
      <w:r w:rsidRPr="00312389">
        <w:rPr>
          <w:rFonts w:ascii="Arial" w:hAnsi="Arial" w:cs="Arial"/>
          <w:i/>
        </w:rPr>
        <w:t>Academy of management Review</w:t>
      </w:r>
      <w:r w:rsidRPr="00312389">
        <w:rPr>
          <w:rFonts w:ascii="Arial" w:hAnsi="Arial" w:cs="Arial"/>
        </w:rPr>
        <w:t>​, ​</w:t>
      </w:r>
      <w:r w:rsidRPr="00E1286F">
        <w:rPr>
          <w:rFonts w:ascii="Arial" w:hAnsi="Arial" w:cs="Arial"/>
          <w:i/>
        </w:rPr>
        <w:t>33</w:t>
      </w:r>
      <w:r w:rsidRPr="00312389">
        <w:rPr>
          <w:rFonts w:ascii="Arial" w:hAnsi="Arial" w:cs="Arial"/>
        </w:rPr>
        <w:t xml:space="preserve">​(2), pp.404-424. </w:t>
      </w:r>
    </w:p>
    <w:p w14:paraId="33529626" w14:textId="77777777" w:rsidR="00D2233A" w:rsidRPr="00312389" w:rsidRDefault="00642D5B" w:rsidP="00D40EBB">
      <w:pPr>
        <w:spacing w:line="480" w:lineRule="auto"/>
        <w:rPr>
          <w:rFonts w:ascii="Arial" w:hAnsi="Arial" w:cs="Arial"/>
        </w:rPr>
      </w:pPr>
      <w:r w:rsidRPr="00312389">
        <w:rPr>
          <w:rFonts w:ascii="Arial" w:hAnsi="Arial" w:cs="Arial"/>
        </w:rPr>
        <w:t>McCarthy, J.</w:t>
      </w:r>
      <w:r w:rsidR="003D1764" w:rsidRPr="00312389">
        <w:rPr>
          <w:rFonts w:ascii="Arial" w:hAnsi="Arial" w:cs="Arial"/>
        </w:rPr>
        <w:t xml:space="preserve"> (</w:t>
      </w:r>
      <w:r w:rsidRPr="00312389">
        <w:rPr>
          <w:rFonts w:ascii="Arial" w:hAnsi="Arial" w:cs="Arial"/>
        </w:rPr>
        <w:t>2009</w:t>
      </w:r>
      <w:r w:rsidR="003D1764" w:rsidRPr="00312389">
        <w:rPr>
          <w:rFonts w:ascii="Arial" w:hAnsi="Arial" w:cs="Arial"/>
        </w:rPr>
        <w:t>)</w:t>
      </w:r>
      <w:r w:rsidRPr="00312389">
        <w:rPr>
          <w:rFonts w:ascii="Arial" w:hAnsi="Arial" w:cs="Arial"/>
        </w:rPr>
        <w:t>. </w:t>
      </w:r>
      <w:r w:rsidRPr="00E1286F">
        <w:rPr>
          <w:rFonts w:ascii="Arial" w:hAnsi="Arial" w:cs="Arial"/>
          <w:u w:val="single"/>
        </w:rPr>
        <w:t>An examination of the impact of e-business evolution within small and micro businesses</w:t>
      </w:r>
      <w:r w:rsidRPr="00312389">
        <w:rPr>
          <w:rFonts w:ascii="Arial" w:hAnsi="Arial" w:cs="Arial"/>
          <w:i/>
          <w:iCs/>
        </w:rPr>
        <w:t xml:space="preserve"> </w:t>
      </w:r>
      <w:r w:rsidRPr="00312389">
        <w:rPr>
          <w:rFonts w:ascii="Arial" w:hAnsi="Arial" w:cs="Arial"/>
        </w:rPr>
        <w:t>(Doctoral dissertation, Buckinghamshire New University).</w:t>
      </w:r>
    </w:p>
    <w:p w14:paraId="7C230C73" w14:textId="59E275D0" w:rsidR="00EF6352" w:rsidRPr="00312389" w:rsidRDefault="00D2233A" w:rsidP="00D40EBB">
      <w:pPr>
        <w:spacing w:line="480" w:lineRule="auto"/>
        <w:rPr>
          <w:rFonts w:ascii="Arial" w:hAnsi="Arial" w:cs="Arial"/>
        </w:rPr>
      </w:pPr>
      <w:bookmarkStart w:id="52" w:name="_Hlk27735592"/>
      <w:r w:rsidRPr="00312389">
        <w:rPr>
          <w:rFonts w:ascii="Arial" w:hAnsi="Arial" w:cs="Arial"/>
        </w:rPr>
        <w:t xml:space="preserve">McKinsey Global Institute </w:t>
      </w:r>
      <w:r w:rsidR="00EF6352" w:rsidRPr="00312389">
        <w:rPr>
          <w:rFonts w:ascii="Arial" w:hAnsi="Arial" w:cs="Arial"/>
        </w:rPr>
        <w:t>(</w:t>
      </w:r>
      <w:r w:rsidRPr="00312389">
        <w:rPr>
          <w:rFonts w:ascii="Arial" w:hAnsi="Arial" w:cs="Arial"/>
        </w:rPr>
        <w:t>2019</w:t>
      </w:r>
      <w:r w:rsidR="00EF6352" w:rsidRPr="00312389">
        <w:rPr>
          <w:rFonts w:ascii="Arial" w:hAnsi="Arial" w:cs="Arial"/>
        </w:rPr>
        <w:t>)</w:t>
      </w:r>
      <w:r w:rsidRPr="00312389">
        <w:rPr>
          <w:rFonts w:ascii="Arial" w:hAnsi="Arial" w:cs="Arial"/>
        </w:rPr>
        <w:t xml:space="preserve">. </w:t>
      </w:r>
      <w:r w:rsidRPr="00ED3348">
        <w:rPr>
          <w:rFonts w:ascii="Arial" w:hAnsi="Arial" w:cs="Arial"/>
          <w:u w:val="single"/>
        </w:rPr>
        <w:t xml:space="preserve">Automation at scale: The benefits for payers. </w:t>
      </w:r>
      <w:r w:rsidRPr="00312389">
        <w:rPr>
          <w:rFonts w:ascii="Arial" w:hAnsi="Arial" w:cs="Arial"/>
        </w:rPr>
        <w:t xml:space="preserve">Available at: https://www. mckinsey.com/industries/healthcare-systems-and-services/our-insights/automation-at-scale-the-benefits-for-payers​ (Accessed: </w:t>
      </w:r>
      <w:r w:rsidR="00C86B0F">
        <w:rPr>
          <w:rFonts w:ascii="Arial" w:hAnsi="Arial" w:cs="Arial"/>
        </w:rPr>
        <w:t>12 April</w:t>
      </w:r>
      <w:r w:rsidRPr="00312389">
        <w:rPr>
          <w:rFonts w:ascii="Arial" w:hAnsi="Arial" w:cs="Arial"/>
        </w:rPr>
        <w:t xml:space="preserve"> 20</w:t>
      </w:r>
      <w:r w:rsidR="00C86B0F">
        <w:rPr>
          <w:rFonts w:ascii="Arial" w:hAnsi="Arial" w:cs="Arial"/>
        </w:rPr>
        <w:t>21</w:t>
      </w:r>
      <w:r w:rsidRPr="00312389">
        <w:rPr>
          <w:rFonts w:ascii="Arial" w:hAnsi="Arial" w:cs="Arial"/>
        </w:rPr>
        <w:t>).</w:t>
      </w:r>
    </w:p>
    <w:p w14:paraId="42102A18" w14:textId="77777777" w:rsidR="00EF6352" w:rsidRPr="00312389" w:rsidRDefault="00EF6352" w:rsidP="00D40EBB">
      <w:pPr>
        <w:spacing w:line="480" w:lineRule="auto"/>
        <w:rPr>
          <w:rFonts w:ascii="Arial" w:hAnsi="Arial" w:cs="Arial"/>
        </w:rPr>
      </w:pPr>
      <w:proofErr w:type="spellStart"/>
      <w:r w:rsidRPr="00312389">
        <w:rPr>
          <w:rFonts w:ascii="Arial" w:hAnsi="Arial" w:cs="Arial"/>
        </w:rPr>
        <w:lastRenderedPageBreak/>
        <w:t>Mora</w:t>
      </w:r>
      <w:proofErr w:type="spellEnd"/>
      <w:r w:rsidRPr="00312389">
        <w:rPr>
          <w:rFonts w:ascii="Arial" w:hAnsi="Arial" w:cs="Arial"/>
        </w:rPr>
        <w:t xml:space="preserve">, M., Rory, V.O., </w:t>
      </w:r>
      <w:proofErr w:type="spellStart"/>
      <w:r w:rsidRPr="00312389">
        <w:rPr>
          <w:rFonts w:ascii="Arial" w:hAnsi="Arial" w:cs="Arial"/>
        </w:rPr>
        <w:t>Rainsinghani</w:t>
      </w:r>
      <w:proofErr w:type="spellEnd"/>
      <w:r w:rsidRPr="00312389">
        <w:rPr>
          <w:rFonts w:ascii="Arial" w:hAnsi="Arial" w:cs="Arial"/>
        </w:rPr>
        <w:t xml:space="preserve">, M. and </w:t>
      </w:r>
      <w:proofErr w:type="spellStart"/>
      <w:r w:rsidRPr="00312389">
        <w:rPr>
          <w:rFonts w:ascii="Arial" w:hAnsi="Arial" w:cs="Arial"/>
        </w:rPr>
        <w:t>Gelman</w:t>
      </w:r>
      <w:proofErr w:type="spellEnd"/>
      <w:r w:rsidRPr="00312389">
        <w:rPr>
          <w:rFonts w:ascii="Arial" w:hAnsi="Arial" w:cs="Arial"/>
        </w:rPr>
        <w:t xml:space="preserve">, O. (2016). </w:t>
      </w:r>
      <w:r w:rsidRPr="00ED3348">
        <w:rPr>
          <w:rFonts w:ascii="Arial" w:hAnsi="Arial" w:cs="Arial"/>
          <w:u w:val="single"/>
        </w:rPr>
        <w:t>Impacts of electronic process guides by types of user: An experimental study</w:t>
      </w:r>
      <w:r w:rsidRPr="00312389">
        <w:rPr>
          <w:rFonts w:ascii="Arial" w:hAnsi="Arial" w:cs="Arial"/>
        </w:rPr>
        <w:t>. ​</w:t>
      </w:r>
      <w:r w:rsidRPr="00312389">
        <w:rPr>
          <w:rFonts w:ascii="Arial" w:hAnsi="Arial" w:cs="Arial"/>
          <w:i/>
        </w:rPr>
        <w:t>International Journal of Information Management</w:t>
      </w:r>
      <w:r w:rsidRPr="00312389">
        <w:rPr>
          <w:rFonts w:ascii="Arial" w:hAnsi="Arial" w:cs="Arial"/>
        </w:rPr>
        <w:t>​, ​</w:t>
      </w:r>
      <w:r w:rsidRPr="00312389">
        <w:rPr>
          <w:rFonts w:ascii="Arial" w:hAnsi="Arial" w:cs="Arial"/>
          <w:i/>
        </w:rPr>
        <w:t>36</w:t>
      </w:r>
      <w:r w:rsidRPr="00312389">
        <w:rPr>
          <w:rFonts w:ascii="Arial" w:hAnsi="Arial" w:cs="Arial"/>
        </w:rPr>
        <w:t>​(1), pp.73-88.</w:t>
      </w:r>
    </w:p>
    <w:p w14:paraId="0317E1D1" w14:textId="580CAEB4" w:rsidR="00EF6352" w:rsidRPr="00312389" w:rsidRDefault="00EF6352" w:rsidP="00D40EBB">
      <w:pPr>
        <w:spacing w:line="480" w:lineRule="auto"/>
        <w:rPr>
          <w:rFonts w:ascii="Arial" w:hAnsi="Arial" w:cs="Arial"/>
        </w:rPr>
      </w:pPr>
      <w:proofErr w:type="spellStart"/>
      <w:r w:rsidRPr="00312389">
        <w:rPr>
          <w:rFonts w:ascii="Arial" w:hAnsi="Arial" w:cs="Arial"/>
        </w:rPr>
        <w:t>Mosteller</w:t>
      </w:r>
      <w:proofErr w:type="spellEnd"/>
      <w:r w:rsidRPr="00312389">
        <w:rPr>
          <w:rFonts w:ascii="Arial" w:hAnsi="Arial" w:cs="Arial"/>
        </w:rPr>
        <w:t xml:space="preserve">, J. and </w:t>
      </w:r>
      <w:proofErr w:type="spellStart"/>
      <w:r w:rsidRPr="00312389">
        <w:rPr>
          <w:rFonts w:ascii="Arial" w:hAnsi="Arial" w:cs="Arial"/>
        </w:rPr>
        <w:t>Poddar</w:t>
      </w:r>
      <w:proofErr w:type="spellEnd"/>
      <w:r w:rsidRPr="00312389">
        <w:rPr>
          <w:rFonts w:ascii="Arial" w:hAnsi="Arial" w:cs="Arial"/>
        </w:rPr>
        <w:t xml:space="preserve">, A. (2017). </w:t>
      </w:r>
      <w:r w:rsidRPr="0031087A">
        <w:rPr>
          <w:rFonts w:ascii="Arial" w:hAnsi="Arial" w:cs="Arial"/>
          <w:u w:val="single"/>
        </w:rPr>
        <w:t xml:space="preserve">To share and protect: Using regulatory focus theory to examine the privacy paradox of consumers' social media engagement and online privacy protection </w:t>
      </w:r>
      <w:proofErr w:type="spellStart"/>
      <w:r w:rsidRPr="0031087A">
        <w:rPr>
          <w:rFonts w:ascii="Arial" w:hAnsi="Arial" w:cs="Arial"/>
          <w:u w:val="single"/>
        </w:rPr>
        <w:t>behaviors</w:t>
      </w:r>
      <w:proofErr w:type="spellEnd"/>
      <w:r w:rsidRPr="00312389">
        <w:rPr>
          <w:rFonts w:ascii="Arial" w:hAnsi="Arial" w:cs="Arial"/>
        </w:rPr>
        <w:t>. ​</w:t>
      </w:r>
      <w:r w:rsidRPr="00312389">
        <w:rPr>
          <w:rFonts w:ascii="Arial" w:hAnsi="Arial" w:cs="Arial"/>
          <w:i/>
        </w:rPr>
        <w:t>Journal of Interactive Marketing</w:t>
      </w:r>
      <w:r w:rsidRPr="00312389">
        <w:rPr>
          <w:rFonts w:ascii="Arial" w:hAnsi="Arial" w:cs="Arial"/>
        </w:rPr>
        <w:t xml:space="preserve">​, </w:t>
      </w:r>
      <w:r w:rsidRPr="00312389">
        <w:rPr>
          <w:rFonts w:ascii="Arial" w:hAnsi="Arial" w:cs="Arial"/>
          <w:i/>
        </w:rPr>
        <w:t>39</w:t>
      </w:r>
      <w:r w:rsidRPr="00312389">
        <w:rPr>
          <w:rFonts w:ascii="Arial" w:hAnsi="Arial" w:cs="Arial"/>
        </w:rPr>
        <w:t>​​, pp.27-38.</w:t>
      </w:r>
    </w:p>
    <w:p w14:paraId="77E01CCF" w14:textId="12AEAFA5" w:rsidR="00B96007" w:rsidRPr="00312389" w:rsidRDefault="00B96007" w:rsidP="00D40EBB">
      <w:pPr>
        <w:spacing w:line="480" w:lineRule="auto"/>
        <w:rPr>
          <w:rFonts w:ascii="Arial" w:hAnsi="Arial" w:cs="Arial"/>
        </w:rPr>
      </w:pPr>
      <w:r w:rsidRPr="00312389">
        <w:rPr>
          <w:rFonts w:ascii="Arial" w:hAnsi="Arial" w:cs="Arial"/>
        </w:rPr>
        <w:t xml:space="preserve">Myers, M.D. (1997). </w:t>
      </w:r>
      <w:r w:rsidRPr="00A009A6">
        <w:rPr>
          <w:rFonts w:ascii="Arial" w:hAnsi="Arial" w:cs="Arial"/>
          <w:u w:val="single"/>
        </w:rPr>
        <w:t>Critical ethnography in information systems</w:t>
      </w:r>
      <w:r w:rsidRPr="00312389">
        <w:rPr>
          <w:rFonts w:ascii="Arial" w:hAnsi="Arial" w:cs="Arial"/>
        </w:rPr>
        <w:t>. In </w:t>
      </w:r>
      <w:r w:rsidRPr="00312389">
        <w:rPr>
          <w:rFonts w:ascii="Arial" w:hAnsi="Arial" w:cs="Arial"/>
          <w:i/>
          <w:iCs/>
        </w:rPr>
        <w:t>Information systems and qualitative research</w:t>
      </w:r>
      <w:r w:rsidRPr="00312389">
        <w:rPr>
          <w:rFonts w:ascii="Arial" w:hAnsi="Arial" w:cs="Arial"/>
        </w:rPr>
        <w:t> (pp. 276-300). Boston: Springer.</w:t>
      </w:r>
    </w:p>
    <w:bookmarkEnd w:id="52"/>
    <w:p w14:paraId="131C7893" w14:textId="77777777" w:rsidR="00EF6352" w:rsidRPr="00312389" w:rsidRDefault="00642D5B" w:rsidP="00D40EBB">
      <w:pPr>
        <w:spacing w:line="480" w:lineRule="auto"/>
        <w:rPr>
          <w:rFonts w:ascii="Arial" w:hAnsi="Arial" w:cs="Arial"/>
        </w:rPr>
      </w:pPr>
      <w:r w:rsidRPr="00312389">
        <w:rPr>
          <w:rFonts w:ascii="Arial" w:hAnsi="Arial" w:cs="Arial"/>
        </w:rPr>
        <w:t xml:space="preserve">Mysore, K., </w:t>
      </w:r>
      <w:proofErr w:type="spellStart"/>
      <w:r w:rsidRPr="00312389">
        <w:rPr>
          <w:rFonts w:ascii="Arial" w:hAnsi="Arial" w:cs="Arial"/>
        </w:rPr>
        <w:t>Elmualim</w:t>
      </w:r>
      <w:proofErr w:type="spellEnd"/>
      <w:r w:rsidRPr="00312389">
        <w:rPr>
          <w:rFonts w:ascii="Arial" w:hAnsi="Arial" w:cs="Arial"/>
        </w:rPr>
        <w:t xml:space="preserve">, A. and </w:t>
      </w:r>
      <w:proofErr w:type="spellStart"/>
      <w:r w:rsidRPr="00312389">
        <w:rPr>
          <w:rFonts w:ascii="Arial" w:hAnsi="Arial" w:cs="Arial"/>
        </w:rPr>
        <w:t>Kirytopoulos</w:t>
      </w:r>
      <w:proofErr w:type="spellEnd"/>
      <w:r w:rsidRPr="00312389">
        <w:rPr>
          <w:rFonts w:ascii="Arial" w:hAnsi="Arial" w:cs="Arial"/>
        </w:rPr>
        <w:t>, K.</w:t>
      </w:r>
      <w:r w:rsidR="003D1764" w:rsidRPr="00312389">
        <w:rPr>
          <w:rFonts w:ascii="Arial" w:hAnsi="Arial" w:cs="Arial"/>
        </w:rPr>
        <w:t xml:space="preserve"> (</w:t>
      </w:r>
      <w:r w:rsidRPr="00312389">
        <w:rPr>
          <w:rFonts w:ascii="Arial" w:hAnsi="Arial" w:cs="Arial"/>
        </w:rPr>
        <w:t>2019</w:t>
      </w:r>
      <w:r w:rsidR="003D1764" w:rsidRPr="00312389">
        <w:rPr>
          <w:rFonts w:ascii="Arial" w:hAnsi="Arial" w:cs="Arial"/>
        </w:rPr>
        <w:t>)</w:t>
      </w:r>
      <w:r w:rsidRPr="00312389">
        <w:rPr>
          <w:rFonts w:ascii="Arial" w:hAnsi="Arial" w:cs="Arial"/>
        </w:rPr>
        <w:t xml:space="preserve">. </w:t>
      </w:r>
      <w:r w:rsidRPr="00F44FFA">
        <w:rPr>
          <w:rFonts w:ascii="Arial" w:hAnsi="Arial" w:cs="Arial"/>
          <w:u w:val="single"/>
        </w:rPr>
        <w:t xml:space="preserve">The Influence of Themes of Interplay on </w:t>
      </w:r>
      <w:proofErr w:type="spellStart"/>
      <w:r w:rsidRPr="00F44FFA">
        <w:rPr>
          <w:rFonts w:ascii="Arial" w:hAnsi="Arial" w:cs="Arial"/>
          <w:u w:val="single"/>
        </w:rPr>
        <w:t>Multistakeholders</w:t>
      </w:r>
      <w:proofErr w:type="spellEnd"/>
      <w:r w:rsidRPr="00F44FFA">
        <w:rPr>
          <w:rFonts w:ascii="Arial" w:hAnsi="Arial" w:cs="Arial"/>
          <w:u w:val="single"/>
        </w:rPr>
        <w:t xml:space="preserve"> Engagement Amidst Adversities in Globally Distributed ICT Projects–A Case Study Approach</w:t>
      </w:r>
      <w:r w:rsidRPr="00312389">
        <w:rPr>
          <w:rFonts w:ascii="Arial" w:hAnsi="Arial" w:cs="Arial"/>
        </w:rPr>
        <w:t xml:space="preserve">. </w:t>
      </w:r>
      <w:r w:rsidRPr="00312389">
        <w:rPr>
          <w:rFonts w:ascii="Arial" w:hAnsi="Arial" w:cs="Arial"/>
          <w:i/>
          <w:iCs/>
        </w:rPr>
        <w:t>Journal of Global Information Technology Management</w:t>
      </w:r>
      <w:r w:rsidRPr="00312389">
        <w:rPr>
          <w:rFonts w:ascii="Arial" w:hAnsi="Arial" w:cs="Arial"/>
        </w:rPr>
        <w:t>, pp.1-23.</w:t>
      </w:r>
    </w:p>
    <w:p w14:paraId="3DA4A273" w14:textId="77777777" w:rsidR="00EF6352" w:rsidRPr="00312389" w:rsidRDefault="00642D5B" w:rsidP="00D40EBB">
      <w:pPr>
        <w:spacing w:line="480" w:lineRule="auto"/>
        <w:rPr>
          <w:rFonts w:ascii="Arial" w:hAnsi="Arial" w:cs="Arial"/>
        </w:rPr>
      </w:pPr>
      <w:proofErr w:type="spellStart"/>
      <w:r w:rsidRPr="00312389">
        <w:rPr>
          <w:rFonts w:ascii="Arial" w:hAnsi="Arial" w:cs="Arial"/>
        </w:rPr>
        <w:t>Nfuka</w:t>
      </w:r>
      <w:proofErr w:type="spellEnd"/>
      <w:r w:rsidRPr="00312389">
        <w:rPr>
          <w:rFonts w:ascii="Arial" w:hAnsi="Arial" w:cs="Arial"/>
        </w:rPr>
        <w:t xml:space="preserve">, E.N. and </w:t>
      </w:r>
      <w:proofErr w:type="spellStart"/>
      <w:r w:rsidRPr="00312389">
        <w:rPr>
          <w:rFonts w:ascii="Arial" w:hAnsi="Arial" w:cs="Arial"/>
        </w:rPr>
        <w:t>Rusu</w:t>
      </w:r>
      <w:proofErr w:type="spellEnd"/>
      <w:r w:rsidRPr="00312389">
        <w:rPr>
          <w:rFonts w:ascii="Arial" w:hAnsi="Arial" w:cs="Arial"/>
        </w:rPr>
        <w:t>, L.</w:t>
      </w:r>
      <w:r w:rsidR="003D1764" w:rsidRPr="00312389">
        <w:rPr>
          <w:rFonts w:ascii="Arial" w:hAnsi="Arial" w:cs="Arial"/>
        </w:rPr>
        <w:t xml:space="preserve"> (</w:t>
      </w:r>
      <w:r w:rsidRPr="00312389">
        <w:rPr>
          <w:rFonts w:ascii="Arial" w:hAnsi="Arial" w:cs="Arial"/>
        </w:rPr>
        <w:t>2011</w:t>
      </w:r>
      <w:r w:rsidR="003D1764" w:rsidRPr="00312389">
        <w:rPr>
          <w:rFonts w:ascii="Arial" w:hAnsi="Arial" w:cs="Arial"/>
        </w:rPr>
        <w:t>)</w:t>
      </w:r>
      <w:r w:rsidRPr="00312389">
        <w:rPr>
          <w:rFonts w:ascii="Arial" w:hAnsi="Arial" w:cs="Arial"/>
        </w:rPr>
        <w:t xml:space="preserve">. </w:t>
      </w:r>
      <w:r w:rsidRPr="00F44FFA">
        <w:rPr>
          <w:rFonts w:ascii="Arial" w:hAnsi="Arial" w:cs="Arial"/>
          <w:u w:val="single"/>
        </w:rPr>
        <w:t>The effect of critical success factors on IT governance performance</w:t>
      </w:r>
      <w:r w:rsidRPr="00312389">
        <w:rPr>
          <w:rFonts w:ascii="Arial" w:hAnsi="Arial" w:cs="Arial"/>
        </w:rPr>
        <w:t>. </w:t>
      </w:r>
      <w:r w:rsidRPr="00312389">
        <w:rPr>
          <w:rFonts w:ascii="Arial" w:hAnsi="Arial" w:cs="Arial"/>
          <w:i/>
          <w:iCs/>
        </w:rPr>
        <w:t>Industrial Management &amp; Data Systems</w:t>
      </w:r>
      <w:r w:rsidRPr="00312389">
        <w:rPr>
          <w:rFonts w:ascii="Arial" w:hAnsi="Arial" w:cs="Arial"/>
        </w:rPr>
        <w:t>, </w:t>
      </w:r>
      <w:r w:rsidRPr="00312389">
        <w:rPr>
          <w:rFonts w:ascii="Arial" w:hAnsi="Arial" w:cs="Arial"/>
          <w:i/>
          <w:iCs/>
        </w:rPr>
        <w:t>111</w:t>
      </w:r>
      <w:r w:rsidRPr="00312389">
        <w:rPr>
          <w:rFonts w:ascii="Arial" w:hAnsi="Arial" w:cs="Arial"/>
        </w:rPr>
        <w:t>(9), pp.1418-1448.</w:t>
      </w:r>
    </w:p>
    <w:p w14:paraId="74E009CB" w14:textId="77777777" w:rsidR="00EF6352" w:rsidRPr="00312389" w:rsidRDefault="00EF6352" w:rsidP="00D40EBB">
      <w:pPr>
        <w:spacing w:line="480" w:lineRule="auto"/>
        <w:rPr>
          <w:rFonts w:ascii="Arial" w:hAnsi="Arial" w:cs="Arial"/>
        </w:rPr>
      </w:pPr>
      <w:proofErr w:type="spellStart"/>
      <w:r w:rsidRPr="00312389">
        <w:rPr>
          <w:rFonts w:ascii="Arial" w:hAnsi="Arial" w:cs="Arial"/>
        </w:rPr>
        <w:t>Nicho</w:t>
      </w:r>
      <w:proofErr w:type="spellEnd"/>
      <w:r w:rsidRPr="00312389">
        <w:rPr>
          <w:rFonts w:ascii="Arial" w:hAnsi="Arial" w:cs="Arial"/>
        </w:rPr>
        <w:t xml:space="preserve">, M., Khan, S. and Rahman, M.S.M.K. (2017), September. </w:t>
      </w:r>
      <w:r w:rsidRPr="00B71A56">
        <w:rPr>
          <w:rFonts w:ascii="Arial" w:hAnsi="Arial" w:cs="Arial"/>
          <w:u w:val="single"/>
        </w:rPr>
        <w:t>Managing information security risk using integrated governance risk and compliance</w:t>
      </w:r>
      <w:r w:rsidRPr="00312389">
        <w:rPr>
          <w:rFonts w:ascii="Arial" w:hAnsi="Arial" w:cs="Arial"/>
        </w:rPr>
        <w:t>. In ​</w:t>
      </w:r>
      <w:r w:rsidRPr="00312389">
        <w:rPr>
          <w:rFonts w:ascii="Arial" w:hAnsi="Arial" w:cs="Arial"/>
          <w:i/>
        </w:rPr>
        <w:t>2017 International Conference on Computer and Applications (ICCA)</w:t>
      </w:r>
      <w:r w:rsidRPr="00312389">
        <w:rPr>
          <w:rFonts w:ascii="Arial" w:hAnsi="Arial" w:cs="Arial"/>
        </w:rPr>
        <w:t>​ (pp. 56-66). IEEE.</w:t>
      </w:r>
    </w:p>
    <w:p w14:paraId="7017449D" w14:textId="77777777" w:rsidR="00EF6352" w:rsidRPr="00312389" w:rsidRDefault="00EF6352" w:rsidP="00D40EBB">
      <w:pPr>
        <w:spacing w:line="480" w:lineRule="auto"/>
        <w:rPr>
          <w:rFonts w:ascii="Arial" w:hAnsi="Arial" w:cs="Arial"/>
        </w:rPr>
      </w:pPr>
      <w:proofErr w:type="spellStart"/>
      <w:r w:rsidRPr="00312389">
        <w:rPr>
          <w:rFonts w:ascii="Arial" w:hAnsi="Arial" w:cs="Arial"/>
        </w:rPr>
        <w:t>Nicho</w:t>
      </w:r>
      <w:proofErr w:type="spellEnd"/>
      <w:r w:rsidRPr="00312389">
        <w:rPr>
          <w:rFonts w:ascii="Arial" w:hAnsi="Arial" w:cs="Arial"/>
        </w:rPr>
        <w:t xml:space="preserve">, M. and Khan, S. (2017). </w:t>
      </w:r>
      <w:r w:rsidRPr="00B71A56">
        <w:rPr>
          <w:rFonts w:ascii="Arial" w:hAnsi="Arial" w:cs="Arial"/>
          <w:u w:val="single"/>
        </w:rPr>
        <w:t>IT governance measurement tools and its application in IT-business alignment</w:t>
      </w:r>
      <w:r w:rsidRPr="00312389">
        <w:rPr>
          <w:rFonts w:ascii="Arial" w:hAnsi="Arial" w:cs="Arial"/>
        </w:rPr>
        <w:t xml:space="preserve">. </w:t>
      </w:r>
      <w:r w:rsidRPr="00312389">
        <w:rPr>
          <w:rFonts w:ascii="Arial" w:hAnsi="Arial" w:cs="Arial"/>
          <w:i/>
        </w:rPr>
        <w:t>Journal of International Technology and Information Management</w:t>
      </w:r>
      <w:r w:rsidRPr="00312389">
        <w:rPr>
          <w:rFonts w:ascii="Arial" w:hAnsi="Arial" w:cs="Arial"/>
        </w:rPr>
        <w:t>​, ​</w:t>
      </w:r>
      <w:r w:rsidRPr="00312389">
        <w:rPr>
          <w:rFonts w:ascii="Arial" w:hAnsi="Arial" w:cs="Arial"/>
          <w:i/>
        </w:rPr>
        <w:t>26</w:t>
      </w:r>
      <w:r w:rsidRPr="00312389">
        <w:rPr>
          <w:rFonts w:ascii="Arial" w:hAnsi="Arial" w:cs="Arial"/>
        </w:rPr>
        <w:t>​(1), pp.81-111.</w:t>
      </w:r>
    </w:p>
    <w:p w14:paraId="7D2D0791" w14:textId="77777777" w:rsidR="002D47AA" w:rsidRPr="00312389" w:rsidRDefault="00EF6352" w:rsidP="00D40EBB">
      <w:pPr>
        <w:spacing w:line="480" w:lineRule="auto"/>
        <w:rPr>
          <w:rFonts w:ascii="Arial" w:hAnsi="Arial" w:cs="Arial"/>
        </w:rPr>
      </w:pPr>
      <w:proofErr w:type="spellStart"/>
      <w:r w:rsidRPr="00312389">
        <w:rPr>
          <w:rFonts w:ascii="Arial" w:hAnsi="Arial" w:cs="Arial"/>
        </w:rPr>
        <w:lastRenderedPageBreak/>
        <w:t>Olawumi</w:t>
      </w:r>
      <w:proofErr w:type="spellEnd"/>
      <w:r w:rsidRPr="00312389">
        <w:rPr>
          <w:rFonts w:ascii="Arial" w:hAnsi="Arial" w:cs="Arial"/>
        </w:rPr>
        <w:t xml:space="preserve">, T.O. and Chan, D.W. (2019). </w:t>
      </w:r>
      <w:r w:rsidRPr="0067264B">
        <w:rPr>
          <w:rFonts w:ascii="Arial" w:hAnsi="Arial" w:cs="Arial"/>
          <w:u w:val="single"/>
        </w:rPr>
        <w:t>Development of a benchmarking model for BIM implementation in developing countries</w:t>
      </w:r>
      <w:r w:rsidRPr="00312389">
        <w:rPr>
          <w:rFonts w:ascii="Arial" w:hAnsi="Arial" w:cs="Arial"/>
        </w:rPr>
        <w:t>. ​</w:t>
      </w:r>
      <w:r w:rsidRPr="00312389">
        <w:rPr>
          <w:rFonts w:ascii="Arial" w:hAnsi="Arial" w:cs="Arial"/>
          <w:i/>
        </w:rPr>
        <w:t>Benchmarking: An International Journal</w:t>
      </w:r>
      <w:r w:rsidRPr="00312389">
        <w:rPr>
          <w:rFonts w:ascii="Arial" w:hAnsi="Arial" w:cs="Arial"/>
        </w:rPr>
        <w:t>​, ​</w:t>
      </w:r>
      <w:r w:rsidRPr="00312389">
        <w:rPr>
          <w:rFonts w:ascii="Arial" w:hAnsi="Arial" w:cs="Arial"/>
          <w:i/>
        </w:rPr>
        <w:t>26</w:t>
      </w:r>
      <w:r w:rsidRPr="00312389">
        <w:rPr>
          <w:rFonts w:ascii="Arial" w:hAnsi="Arial" w:cs="Arial"/>
        </w:rPr>
        <w:t>​(4), pp.1210-1232.</w:t>
      </w:r>
    </w:p>
    <w:p w14:paraId="30EC7BB1" w14:textId="696D79BE" w:rsidR="002D47AA" w:rsidRPr="00312389" w:rsidRDefault="00EF6352" w:rsidP="00D40EBB">
      <w:pPr>
        <w:spacing w:line="480" w:lineRule="auto"/>
        <w:rPr>
          <w:rFonts w:ascii="Arial" w:hAnsi="Arial" w:cs="Arial"/>
        </w:rPr>
      </w:pPr>
      <w:r w:rsidRPr="00312389">
        <w:rPr>
          <w:rFonts w:ascii="Arial" w:hAnsi="Arial" w:cs="Arial"/>
        </w:rPr>
        <w:t xml:space="preserve">Organisation for Economic Co-operation and Development (2012). </w:t>
      </w:r>
      <w:r w:rsidRPr="00AA6C44">
        <w:rPr>
          <w:rFonts w:ascii="Arial" w:hAnsi="Arial" w:cs="Arial"/>
        </w:rPr>
        <w:t>​</w:t>
      </w:r>
      <w:r w:rsidRPr="00AA6C44">
        <w:rPr>
          <w:rFonts w:ascii="Arial" w:hAnsi="Arial" w:cs="Arial"/>
          <w:u w:val="single"/>
        </w:rPr>
        <w:t>Cybersecurity Policy Making at a Turning Point: Analysing a New Generation of National Cybersecurity Strategies for the Internet Economy​</w:t>
      </w:r>
      <w:r w:rsidRPr="00312389">
        <w:rPr>
          <w:rFonts w:ascii="Arial" w:hAnsi="Arial" w:cs="Arial"/>
        </w:rPr>
        <w:t xml:space="preserve">. </w:t>
      </w:r>
      <w:r w:rsidR="00E3443F">
        <w:rPr>
          <w:rFonts w:ascii="Arial" w:hAnsi="Arial" w:cs="Arial"/>
        </w:rPr>
        <w:t xml:space="preserve">Paris: </w:t>
      </w:r>
      <w:r w:rsidRPr="00312389">
        <w:rPr>
          <w:rFonts w:ascii="Arial" w:hAnsi="Arial" w:cs="Arial"/>
        </w:rPr>
        <w:t>OECD Publishing.</w:t>
      </w:r>
    </w:p>
    <w:p w14:paraId="18052C6C" w14:textId="5AEBCA82" w:rsidR="00B96007" w:rsidRPr="00312389" w:rsidRDefault="00B96007" w:rsidP="00D40EBB">
      <w:pPr>
        <w:spacing w:line="480" w:lineRule="auto"/>
        <w:rPr>
          <w:rFonts w:ascii="Arial" w:hAnsi="Arial" w:cs="Arial"/>
        </w:rPr>
      </w:pPr>
      <w:r w:rsidRPr="00312389">
        <w:rPr>
          <w:rFonts w:ascii="Arial" w:hAnsi="Arial" w:cs="Arial"/>
        </w:rPr>
        <w:t xml:space="preserve">O'Sullivan, E., </w:t>
      </w:r>
      <w:proofErr w:type="spellStart"/>
      <w:r w:rsidRPr="00312389">
        <w:rPr>
          <w:rFonts w:ascii="Arial" w:hAnsi="Arial" w:cs="Arial"/>
        </w:rPr>
        <w:t>Berner</w:t>
      </w:r>
      <w:proofErr w:type="spellEnd"/>
      <w:r w:rsidRPr="00312389">
        <w:rPr>
          <w:rFonts w:ascii="Arial" w:hAnsi="Arial" w:cs="Arial"/>
        </w:rPr>
        <w:t xml:space="preserve">, M., </w:t>
      </w:r>
      <w:proofErr w:type="spellStart"/>
      <w:r w:rsidRPr="00312389">
        <w:rPr>
          <w:rFonts w:ascii="Arial" w:hAnsi="Arial" w:cs="Arial"/>
        </w:rPr>
        <w:t>Taliaferro</w:t>
      </w:r>
      <w:proofErr w:type="spellEnd"/>
      <w:r w:rsidRPr="00312389">
        <w:rPr>
          <w:rFonts w:ascii="Arial" w:hAnsi="Arial" w:cs="Arial"/>
        </w:rPr>
        <w:t xml:space="preserve">, J.D. and </w:t>
      </w:r>
      <w:proofErr w:type="spellStart"/>
      <w:r w:rsidRPr="00312389">
        <w:rPr>
          <w:rFonts w:ascii="Arial" w:hAnsi="Arial" w:cs="Arial"/>
        </w:rPr>
        <w:t>Rassel</w:t>
      </w:r>
      <w:proofErr w:type="spellEnd"/>
      <w:r w:rsidRPr="00312389">
        <w:rPr>
          <w:rFonts w:ascii="Arial" w:hAnsi="Arial" w:cs="Arial"/>
        </w:rPr>
        <w:t>, G.R. (2017). </w:t>
      </w:r>
      <w:r w:rsidRPr="00AA6C44">
        <w:rPr>
          <w:rFonts w:ascii="Arial" w:hAnsi="Arial" w:cs="Arial"/>
          <w:u w:val="single"/>
        </w:rPr>
        <w:t>Research methods for public administrators</w:t>
      </w:r>
      <w:r w:rsidRPr="00312389">
        <w:rPr>
          <w:rFonts w:ascii="Arial" w:hAnsi="Arial" w:cs="Arial"/>
        </w:rPr>
        <w:t>. Oxon: Routledge.</w:t>
      </w:r>
    </w:p>
    <w:p w14:paraId="260A7DEC" w14:textId="77777777" w:rsidR="00B96007" w:rsidRPr="00312389" w:rsidRDefault="00B96007" w:rsidP="00D40EBB">
      <w:pPr>
        <w:spacing w:line="480" w:lineRule="auto"/>
        <w:rPr>
          <w:rFonts w:ascii="Arial" w:hAnsi="Arial" w:cs="Arial"/>
        </w:rPr>
      </w:pPr>
    </w:p>
    <w:p w14:paraId="19E690D2" w14:textId="373B3633" w:rsidR="00EF6352" w:rsidRPr="00312389" w:rsidRDefault="00EF6352" w:rsidP="00D40EBB">
      <w:pPr>
        <w:spacing w:line="480" w:lineRule="auto"/>
        <w:rPr>
          <w:rFonts w:ascii="Arial" w:hAnsi="Arial" w:cs="Arial"/>
        </w:rPr>
      </w:pPr>
      <w:r w:rsidRPr="00312389">
        <w:rPr>
          <w:rFonts w:ascii="Arial" w:hAnsi="Arial" w:cs="Arial"/>
        </w:rPr>
        <w:t>O'Sullivan, E. (2016). ​</w:t>
      </w:r>
      <w:r w:rsidRPr="00AA6C44">
        <w:rPr>
          <w:rFonts w:ascii="Arial" w:hAnsi="Arial" w:cs="Arial"/>
          <w:iCs/>
          <w:u w:val="single"/>
        </w:rPr>
        <w:t xml:space="preserve">Practical Research Methods for </w:t>
      </w:r>
      <w:proofErr w:type="spellStart"/>
      <w:r w:rsidRPr="00AA6C44">
        <w:rPr>
          <w:rFonts w:ascii="Arial" w:hAnsi="Arial" w:cs="Arial"/>
          <w:iCs/>
          <w:u w:val="single"/>
        </w:rPr>
        <w:t>Nonprofit</w:t>
      </w:r>
      <w:proofErr w:type="spellEnd"/>
      <w:r w:rsidRPr="00AA6C44">
        <w:rPr>
          <w:rFonts w:ascii="Arial" w:hAnsi="Arial" w:cs="Arial"/>
          <w:iCs/>
          <w:u w:val="single"/>
        </w:rPr>
        <w:t xml:space="preserve"> and Public Administrators, Instructor's Manual (Download only)</w:t>
      </w:r>
      <w:r w:rsidRPr="00687A4B">
        <w:rPr>
          <w:rFonts w:ascii="Arial" w:hAnsi="Arial" w:cs="Arial"/>
          <w:u w:val="single"/>
        </w:rPr>
        <w:t>​.</w:t>
      </w:r>
      <w:r w:rsidRPr="00312389">
        <w:rPr>
          <w:rFonts w:ascii="Arial" w:hAnsi="Arial" w:cs="Arial"/>
        </w:rPr>
        <w:t xml:space="preserve"> Oxon: Routledge. </w:t>
      </w:r>
    </w:p>
    <w:p w14:paraId="4A11D3C5" w14:textId="77777777" w:rsidR="00B96007" w:rsidRPr="00312389" w:rsidRDefault="002A6A65" w:rsidP="00D40EBB">
      <w:pPr>
        <w:spacing w:line="480" w:lineRule="auto"/>
        <w:rPr>
          <w:rFonts w:ascii="Arial" w:hAnsi="Arial" w:cs="Arial"/>
        </w:rPr>
      </w:pPr>
      <w:r w:rsidRPr="00312389">
        <w:rPr>
          <w:rFonts w:ascii="Arial" w:hAnsi="Arial" w:cs="Arial"/>
        </w:rPr>
        <w:t xml:space="preserve">Pal, R., </w:t>
      </w:r>
      <w:proofErr w:type="spellStart"/>
      <w:r w:rsidRPr="00312389">
        <w:rPr>
          <w:rFonts w:ascii="Arial" w:hAnsi="Arial" w:cs="Arial"/>
        </w:rPr>
        <w:t>Golubchik</w:t>
      </w:r>
      <w:proofErr w:type="spellEnd"/>
      <w:r w:rsidRPr="00312389">
        <w:rPr>
          <w:rFonts w:ascii="Arial" w:hAnsi="Arial" w:cs="Arial"/>
        </w:rPr>
        <w:t xml:space="preserve">, L., </w:t>
      </w:r>
      <w:proofErr w:type="spellStart"/>
      <w:r w:rsidRPr="00312389">
        <w:rPr>
          <w:rFonts w:ascii="Arial" w:hAnsi="Arial" w:cs="Arial"/>
        </w:rPr>
        <w:t>Psounis</w:t>
      </w:r>
      <w:proofErr w:type="spellEnd"/>
      <w:r w:rsidRPr="00312389">
        <w:rPr>
          <w:rFonts w:ascii="Arial" w:hAnsi="Arial" w:cs="Arial"/>
        </w:rPr>
        <w:t xml:space="preserve">, K. and Hui, P. (2014), April. </w:t>
      </w:r>
      <w:r w:rsidRPr="00687A4B">
        <w:rPr>
          <w:rFonts w:ascii="Arial" w:hAnsi="Arial" w:cs="Arial"/>
          <w:u w:val="single"/>
        </w:rPr>
        <w:t>Will cyber-insurance improve network security? A market analysis</w:t>
      </w:r>
      <w:r w:rsidRPr="00312389">
        <w:rPr>
          <w:rFonts w:ascii="Arial" w:hAnsi="Arial" w:cs="Arial"/>
        </w:rPr>
        <w:t>. In ​</w:t>
      </w:r>
      <w:r w:rsidRPr="00312389">
        <w:rPr>
          <w:rFonts w:ascii="Arial" w:hAnsi="Arial" w:cs="Arial"/>
          <w:i/>
        </w:rPr>
        <w:t>IEEE INFOCOM 2014-IEEE Conference on Computer Communications</w:t>
      </w:r>
      <w:r w:rsidRPr="00312389">
        <w:rPr>
          <w:rFonts w:ascii="Arial" w:hAnsi="Arial" w:cs="Arial"/>
        </w:rPr>
        <w:t xml:space="preserve">​ (pp. 235-243). IEEE. </w:t>
      </w:r>
    </w:p>
    <w:p w14:paraId="77150B3C" w14:textId="48499625" w:rsidR="00B96007" w:rsidRPr="00312389" w:rsidRDefault="00B96007" w:rsidP="00D40EBB">
      <w:pPr>
        <w:spacing w:line="480" w:lineRule="auto"/>
        <w:rPr>
          <w:rFonts w:ascii="Arial" w:hAnsi="Arial" w:cs="Arial"/>
        </w:rPr>
      </w:pPr>
      <w:proofErr w:type="spellStart"/>
      <w:r w:rsidRPr="00312389">
        <w:rPr>
          <w:rFonts w:ascii="Arial" w:hAnsi="Arial" w:cs="Arial"/>
        </w:rPr>
        <w:t>Palinkas</w:t>
      </w:r>
      <w:proofErr w:type="spellEnd"/>
      <w:r w:rsidRPr="00312389">
        <w:rPr>
          <w:rFonts w:ascii="Arial" w:hAnsi="Arial" w:cs="Arial"/>
        </w:rPr>
        <w:t xml:space="preserve">, L.A., </w:t>
      </w:r>
      <w:proofErr w:type="spellStart"/>
      <w:r w:rsidRPr="00312389">
        <w:rPr>
          <w:rFonts w:ascii="Arial" w:hAnsi="Arial" w:cs="Arial"/>
        </w:rPr>
        <w:t>Horwitz</w:t>
      </w:r>
      <w:proofErr w:type="spellEnd"/>
      <w:r w:rsidRPr="00312389">
        <w:rPr>
          <w:rFonts w:ascii="Arial" w:hAnsi="Arial" w:cs="Arial"/>
        </w:rPr>
        <w:t xml:space="preserve">, S.M., Green, C.A., Wisdom, J.P., </w:t>
      </w:r>
      <w:proofErr w:type="spellStart"/>
      <w:r w:rsidRPr="00312389">
        <w:rPr>
          <w:rFonts w:ascii="Arial" w:hAnsi="Arial" w:cs="Arial"/>
        </w:rPr>
        <w:t>Duan</w:t>
      </w:r>
      <w:proofErr w:type="spellEnd"/>
      <w:r w:rsidRPr="00312389">
        <w:rPr>
          <w:rFonts w:ascii="Arial" w:hAnsi="Arial" w:cs="Arial"/>
        </w:rPr>
        <w:t xml:space="preserve">, N. and </w:t>
      </w:r>
      <w:proofErr w:type="spellStart"/>
      <w:r w:rsidRPr="00312389">
        <w:rPr>
          <w:rFonts w:ascii="Arial" w:hAnsi="Arial" w:cs="Arial"/>
        </w:rPr>
        <w:t>Hoagwood</w:t>
      </w:r>
      <w:proofErr w:type="spellEnd"/>
      <w:r w:rsidRPr="00312389">
        <w:rPr>
          <w:rFonts w:ascii="Arial" w:hAnsi="Arial" w:cs="Arial"/>
        </w:rPr>
        <w:t xml:space="preserve">, K. (2015). </w:t>
      </w:r>
      <w:r w:rsidRPr="00687A4B">
        <w:rPr>
          <w:rFonts w:ascii="Arial" w:hAnsi="Arial" w:cs="Arial"/>
          <w:u w:val="single"/>
        </w:rPr>
        <w:t>Purposeful sampling for qualitative data collection and analysis in mixed method implementation research</w:t>
      </w:r>
      <w:r w:rsidRPr="00312389">
        <w:rPr>
          <w:rFonts w:ascii="Arial" w:hAnsi="Arial" w:cs="Arial"/>
        </w:rPr>
        <w:t>. </w:t>
      </w:r>
      <w:r w:rsidRPr="00312389">
        <w:rPr>
          <w:rFonts w:ascii="Arial" w:hAnsi="Arial" w:cs="Arial"/>
          <w:i/>
          <w:iCs/>
        </w:rPr>
        <w:t>Administration and policy in mental health and mental health services research</w:t>
      </w:r>
      <w:r w:rsidRPr="00312389">
        <w:rPr>
          <w:rFonts w:ascii="Arial" w:hAnsi="Arial" w:cs="Arial"/>
        </w:rPr>
        <w:t>, </w:t>
      </w:r>
      <w:r w:rsidRPr="00312389">
        <w:rPr>
          <w:rFonts w:ascii="Arial" w:hAnsi="Arial" w:cs="Arial"/>
          <w:i/>
          <w:iCs/>
        </w:rPr>
        <w:t>42</w:t>
      </w:r>
      <w:r w:rsidRPr="00312389">
        <w:rPr>
          <w:rFonts w:ascii="Arial" w:hAnsi="Arial" w:cs="Arial"/>
        </w:rPr>
        <w:t>(5), pp.533-544.</w:t>
      </w:r>
    </w:p>
    <w:p w14:paraId="49282718" w14:textId="3043D821" w:rsidR="002A6A65" w:rsidRPr="00312389" w:rsidRDefault="00642D5B" w:rsidP="00D40EBB">
      <w:pPr>
        <w:spacing w:line="480" w:lineRule="auto"/>
        <w:rPr>
          <w:rFonts w:ascii="Arial" w:hAnsi="Arial" w:cs="Arial"/>
        </w:rPr>
      </w:pPr>
      <w:proofErr w:type="spellStart"/>
      <w:r w:rsidRPr="00312389">
        <w:rPr>
          <w:rFonts w:ascii="Arial" w:hAnsi="Arial" w:cs="Arial"/>
        </w:rPr>
        <w:t>Parn</w:t>
      </w:r>
      <w:proofErr w:type="spellEnd"/>
      <w:r w:rsidRPr="00312389">
        <w:rPr>
          <w:rFonts w:ascii="Arial" w:hAnsi="Arial" w:cs="Arial"/>
        </w:rPr>
        <w:t>, E.A. and Edwards, D.</w:t>
      </w:r>
      <w:r w:rsidR="003D1764" w:rsidRPr="00312389">
        <w:rPr>
          <w:rFonts w:ascii="Arial" w:hAnsi="Arial" w:cs="Arial"/>
        </w:rPr>
        <w:t xml:space="preserve"> (</w:t>
      </w:r>
      <w:r w:rsidRPr="00312389">
        <w:rPr>
          <w:rFonts w:ascii="Arial" w:hAnsi="Arial" w:cs="Arial"/>
        </w:rPr>
        <w:t>2019</w:t>
      </w:r>
      <w:r w:rsidR="003D1764" w:rsidRPr="00312389">
        <w:rPr>
          <w:rFonts w:ascii="Arial" w:hAnsi="Arial" w:cs="Arial"/>
        </w:rPr>
        <w:t>)</w:t>
      </w:r>
      <w:r w:rsidRPr="00312389">
        <w:rPr>
          <w:rFonts w:ascii="Arial" w:hAnsi="Arial" w:cs="Arial"/>
        </w:rPr>
        <w:t xml:space="preserve">. </w:t>
      </w:r>
      <w:r w:rsidRPr="00687A4B">
        <w:rPr>
          <w:rFonts w:ascii="Arial" w:hAnsi="Arial" w:cs="Arial"/>
          <w:u w:val="single"/>
        </w:rPr>
        <w:t>Cyber threats confronting the digital built environment: Common data environment vulnerabilities and block chain deterrence.</w:t>
      </w:r>
      <w:r w:rsidRPr="00312389">
        <w:rPr>
          <w:rFonts w:ascii="Arial" w:hAnsi="Arial" w:cs="Arial"/>
        </w:rPr>
        <w:t> </w:t>
      </w:r>
      <w:r w:rsidRPr="00312389">
        <w:rPr>
          <w:rFonts w:ascii="Arial" w:hAnsi="Arial" w:cs="Arial"/>
          <w:i/>
          <w:iCs/>
        </w:rPr>
        <w:t>Engineering, Construction and Architectural Management</w:t>
      </w:r>
      <w:r w:rsidRPr="00312389">
        <w:rPr>
          <w:rFonts w:ascii="Arial" w:hAnsi="Arial" w:cs="Arial"/>
        </w:rPr>
        <w:t>.</w:t>
      </w:r>
    </w:p>
    <w:p w14:paraId="28AE21EE" w14:textId="77777777" w:rsidR="000947AC" w:rsidRPr="00312389" w:rsidRDefault="000947AC" w:rsidP="00D40EBB">
      <w:pPr>
        <w:spacing w:line="480" w:lineRule="auto"/>
        <w:rPr>
          <w:rFonts w:ascii="Arial" w:hAnsi="Arial" w:cs="Arial"/>
        </w:rPr>
      </w:pPr>
      <w:r w:rsidRPr="00312389">
        <w:rPr>
          <w:rFonts w:ascii="Arial" w:hAnsi="Arial" w:cs="Arial"/>
        </w:rPr>
        <w:lastRenderedPageBreak/>
        <w:t xml:space="preserve">Pascal, A., </w:t>
      </w:r>
      <w:proofErr w:type="spellStart"/>
      <w:r w:rsidRPr="00312389">
        <w:rPr>
          <w:rFonts w:ascii="Arial" w:hAnsi="Arial" w:cs="Arial"/>
        </w:rPr>
        <w:t>Aldebert</w:t>
      </w:r>
      <w:proofErr w:type="spellEnd"/>
      <w:r w:rsidRPr="00312389">
        <w:rPr>
          <w:rFonts w:ascii="Arial" w:hAnsi="Arial" w:cs="Arial"/>
        </w:rPr>
        <w:t xml:space="preserve">, B. and </w:t>
      </w:r>
      <w:proofErr w:type="spellStart"/>
      <w:r w:rsidRPr="00312389">
        <w:rPr>
          <w:rFonts w:ascii="Arial" w:hAnsi="Arial" w:cs="Arial"/>
        </w:rPr>
        <w:t>Rouzies</w:t>
      </w:r>
      <w:proofErr w:type="spellEnd"/>
      <w:r w:rsidRPr="00312389">
        <w:rPr>
          <w:rFonts w:ascii="Arial" w:hAnsi="Arial" w:cs="Arial"/>
        </w:rPr>
        <w:t xml:space="preserve">, A. (2018). </w:t>
      </w:r>
      <w:r w:rsidRPr="00687A4B">
        <w:rPr>
          <w:rFonts w:ascii="Arial" w:hAnsi="Arial" w:cs="Arial"/>
          <w:u w:val="single"/>
        </w:rPr>
        <w:t>Mixed methods in information systems research: epistemological and methodological challenges</w:t>
      </w:r>
      <w:r w:rsidRPr="00312389">
        <w:rPr>
          <w:rFonts w:ascii="Arial" w:hAnsi="Arial" w:cs="Arial"/>
        </w:rPr>
        <w:t xml:space="preserve">. </w:t>
      </w:r>
      <w:proofErr w:type="spellStart"/>
      <w:r w:rsidRPr="00312389">
        <w:rPr>
          <w:rFonts w:ascii="Arial" w:hAnsi="Arial" w:cs="Arial"/>
        </w:rPr>
        <w:t>Systèmes</w:t>
      </w:r>
      <w:proofErr w:type="spellEnd"/>
      <w:r w:rsidRPr="00312389">
        <w:rPr>
          <w:rFonts w:ascii="Arial" w:hAnsi="Arial" w:cs="Arial"/>
        </w:rPr>
        <w:t xml:space="preserve"> </w:t>
      </w:r>
      <w:proofErr w:type="spellStart"/>
      <w:r w:rsidRPr="00312389">
        <w:rPr>
          <w:rFonts w:ascii="Arial" w:hAnsi="Arial" w:cs="Arial"/>
        </w:rPr>
        <w:t>d'Information</w:t>
      </w:r>
      <w:proofErr w:type="spellEnd"/>
      <w:r w:rsidRPr="00312389">
        <w:rPr>
          <w:rFonts w:ascii="Arial" w:hAnsi="Arial" w:cs="Arial"/>
        </w:rPr>
        <w:t xml:space="preserve"> et Management (French Journal of Management Information Systems), 23(3).</w:t>
      </w:r>
    </w:p>
    <w:p w14:paraId="46816A3B" w14:textId="77777777" w:rsidR="002A6A65" w:rsidRPr="00312389" w:rsidRDefault="002A6A65" w:rsidP="00D40EBB">
      <w:pPr>
        <w:spacing w:line="480" w:lineRule="auto"/>
        <w:rPr>
          <w:rFonts w:ascii="Arial" w:hAnsi="Arial" w:cs="Arial"/>
        </w:rPr>
      </w:pPr>
      <w:proofErr w:type="spellStart"/>
      <w:r w:rsidRPr="00312389">
        <w:rPr>
          <w:rFonts w:ascii="Arial" w:hAnsi="Arial" w:cs="Arial"/>
        </w:rPr>
        <w:t>Pawlak</w:t>
      </w:r>
      <w:proofErr w:type="spellEnd"/>
      <w:r w:rsidRPr="00312389">
        <w:rPr>
          <w:rFonts w:ascii="Arial" w:hAnsi="Arial" w:cs="Arial"/>
        </w:rPr>
        <w:t xml:space="preserve">, P. and </w:t>
      </w:r>
      <w:proofErr w:type="spellStart"/>
      <w:r w:rsidRPr="00312389">
        <w:rPr>
          <w:rFonts w:ascii="Arial" w:hAnsi="Arial" w:cs="Arial"/>
        </w:rPr>
        <w:t>Barmpaliou</w:t>
      </w:r>
      <w:proofErr w:type="spellEnd"/>
      <w:r w:rsidRPr="00312389">
        <w:rPr>
          <w:rFonts w:ascii="Arial" w:hAnsi="Arial" w:cs="Arial"/>
        </w:rPr>
        <w:t xml:space="preserve">, P.N. (2017). </w:t>
      </w:r>
      <w:r w:rsidRPr="00687A4B">
        <w:rPr>
          <w:rFonts w:ascii="Arial" w:hAnsi="Arial" w:cs="Arial"/>
          <w:u w:val="single"/>
        </w:rPr>
        <w:t>Politics of cybersecurity capacity building: conundrum and opportunity</w:t>
      </w:r>
      <w:r w:rsidRPr="00312389">
        <w:rPr>
          <w:rFonts w:ascii="Arial" w:hAnsi="Arial" w:cs="Arial"/>
        </w:rPr>
        <w:t xml:space="preserve">. </w:t>
      </w:r>
      <w:r w:rsidRPr="00312389">
        <w:rPr>
          <w:rFonts w:ascii="Arial" w:hAnsi="Arial" w:cs="Arial"/>
          <w:i/>
        </w:rPr>
        <w:t>Journal of Cyber Policy</w:t>
      </w:r>
      <w:r w:rsidRPr="00312389">
        <w:rPr>
          <w:rFonts w:ascii="Arial" w:hAnsi="Arial" w:cs="Arial"/>
        </w:rPr>
        <w:t>​, ​</w:t>
      </w:r>
      <w:r w:rsidRPr="00312389">
        <w:rPr>
          <w:rFonts w:ascii="Arial" w:hAnsi="Arial" w:cs="Arial"/>
          <w:i/>
        </w:rPr>
        <w:t>2</w:t>
      </w:r>
      <w:r w:rsidRPr="00312389">
        <w:rPr>
          <w:rFonts w:ascii="Arial" w:hAnsi="Arial" w:cs="Arial"/>
        </w:rPr>
        <w:t>​(1), pp.123-144.</w:t>
      </w:r>
    </w:p>
    <w:p w14:paraId="67C61034" w14:textId="77777777" w:rsidR="002A6A65" w:rsidRPr="00312389" w:rsidRDefault="002A6A65" w:rsidP="00D40EBB">
      <w:pPr>
        <w:spacing w:line="480" w:lineRule="auto"/>
        <w:rPr>
          <w:rFonts w:ascii="Arial" w:hAnsi="Arial" w:cs="Arial"/>
        </w:rPr>
      </w:pPr>
      <w:r w:rsidRPr="00312389">
        <w:rPr>
          <w:rFonts w:ascii="Arial" w:hAnsi="Arial" w:cs="Arial"/>
        </w:rPr>
        <w:t xml:space="preserve">Pearce, A., Pons, D. and </w:t>
      </w:r>
      <w:proofErr w:type="spellStart"/>
      <w:r w:rsidRPr="00312389">
        <w:rPr>
          <w:rFonts w:ascii="Arial" w:hAnsi="Arial" w:cs="Arial"/>
        </w:rPr>
        <w:t>Neitzert</w:t>
      </w:r>
      <w:proofErr w:type="spellEnd"/>
      <w:r w:rsidRPr="00312389">
        <w:rPr>
          <w:rFonts w:ascii="Arial" w:hAnsi="Arial" w:cs="Arial"/>
        </w:rPr>
        <w:t xml:space="preserve">, T. (2018). </w:t>
      </w:r>
      <w:r w:rsidRPr="00687A4B">
        <w:rPr>
          <w:rFonts w:ascii="Arial" w:hAnsi="Arial" w:cs="Arial"/>
          <w:u w:val="single"/>
        </w:rPr>
        <w:t>Implementing lean—Outcomes from SME case studies</w:t>
      </w:r>
      <w:r w:rsidRPr="00312389">
        <w:rPr>
          <w:rFonts w:ascii="Arial" w:hAnsi="Arial" w:cs="Arial"/>
        </w:rPr>
        <w:t>. ​</w:t>
      </w:r>
      <w:r w:rsidRPr="00312389">
        <w:rPr>
          <w:rFonts w:ascii="Arial" w:hAnsi="Arial" w:cs="Arial"/>
          <w:i/>
        </w:rPr>
        <w:t>Operations Research Perspectives</w:t>
      </w:r>
      <w:r w:rsidRPr="00312389">
        <w:rPr>
          <w:rFonts w:ascii="Arial" w:hAnsi="Arial" w:cs="Arial"/>
        </w:rPr>
        <w:t>​, ​</w:t>
      </w:r>
      <w:r w:rsidRPr="00312389">
        <w:rPr>
          <w:rFonts w:ascii="Arial" w:hAnsi="Arial" w:cs="Arial"/>
          <w:i/>
        </w:rPr>
        <w:t>5</w:t>
      </w:r>
      <w:r w:rsidRPr="00312389">
        <w:rPr>
          <w:rFonts w:ascii="Arial" w:hAnsi="Arial" w:cs="Arial"/>
        </w:rPr>
        <w:t>​, pp.94-104.</w:t>
      </w:r>
    </w:p>
    <w:p w14:paraId="237FF94B" w14:textId="77777777" w:rsidR="002A6A65" w:rsidRPr="00312389" w:rsidRDefault="002A6A65" w:rsidP="00D40EBB">
      <w:pPr>
        <w:spacing w:line="480" w:lineRule="auto"/>
        <w:rPr>
          <w:rFonts w:ascii="Arial" w:hAnsi="Arial" w:cs="Arial"/>
        </w:rPr>
      </w:pPr>
      <w:r w:rsidRPr="00312389">
        <w:rPr>
          <w:rFonts w:ascii="Arial" w:hAnsi="Arial" w:cs="Arial"/>
        </w:rPr>
        <w:t xml:space="preserve">Peterson, R. (2004). </w:t>
      </w:r>
      <w:r w:rsidRPr="00687A4B">
        <w:rPr>
          <w:rFonts w:ascii="Arial" w:hAnsi="Arial" w:cs="Arial"/>
          <w:u w:val="single"/>
        </w:rPr>
        <w:t>Crafting information technology governance</w:t>
      </w:r>
      <w:r w:rsidRPr="00312389">
        <w:rPr>
          <w:rFonts w:ascii="Arial" w:hAnsi="Arial" w:cs="Arial"/>
        </w:rPr>
        <w:t xml:space="preserve">. </w:t>
      </w:r>
      <w:r w:rsidRPr="00312389">
        <w:rPr>
          <w:rFonts w:ascii="Arial" w:hAnsi="Arial" w:cs="Arial"/>
          <w:i/>
          <w:iCs/>
        </w:rPr>
        <w:t>Information systems management</w:t>
      </w:r>
      <w:r w:rsidRPr="00312389">
        <w:rPr>
          <w:rFonts w:ascii="Arial" w:hAnsi="Arial" w:cs="Arial"/>
        </w:rPr>
        <w:t xml:space="preserve">, </w:t>
      </w:r>
      <w:r w:rsidRPr="00312389">
        <w:rPr>
          <w:rFonts w:ascii="Arial" w:hAnsi="Arial" w:cs="Arial"/>
          <w:i/>
          <w:iCs/>
        </w:rPr>
        <w:t>21</w:t>
      </w:r>
      <w:r w:rsidRPr="00312389">
        <w:rPr>
          <w:rFonts w:ascii="Arial" w:hAnsi="Arial" w:cs="Arial"/>
        </w:rPr>
        <w:t>(4), pp.7-22.</w:t>
      </w:r>
    </w:p>
    <w:p w14:paraId="2A11EFBE" w14:textId="77777777" w:rsidR="002A6A65" w:rsidRPr="00312389" w:rsidRDefault="00642D5B" w:rsidP="00D40EBB">
      <w:pPr>
        <w:spacing w:line="480" w:lineRule="auto"/>
        <w:rPr>
          <w:rFonts w:ascii="Arial" w:hAnsi="Arial" w:cs="Arial"/>
        </w:rPr>
      </w:pPr>
      <w:r w:rsidRPr="00312389">
        <w:rPr>
          <w:rFonts w:ascii="Arial" w:hAnsi="Arial" w:cs="Arial"/>
        </w:rPr>
        <w:t>Peterson, R.R.</w:t>
      </w:r>
      <w:r w:rsidR="003D1764" w:rsidRPr="00312389">
        <w:rPr>
          <w:rFonts w:ascii="Arial" w:hAnsi="Arial" w:cs="Arial"/>
        </w:rPr>
        <w:t xml:space="preserve"> (</w:t>
      </w:r>
      <w:r w:rsidRPr="00312389">
        <w:rPr>
          <w:rFonts w:ascii="Arial" w:hAnsi="Arial" w:cs="Arial"/>
        </w:rPr>
        <w:t>2001</w:t>
      </w:r>
      <w:r w:rsidR="003D1764" w:rsidRPr="00312389">
        <w:rPr>
          <w:rFonts w:ascii="Arial" w:hAnsi="Arial" w:cs="Arial"/>
        </w:rPr>
        <w:t>)</w:t>
      </w:r>
      <w:r w:rsidRPr="00312389">
        <w:rPr>
          <w:rFonts w:ascii="Arial" w:hAnsi="Arial" w:cs="Arial"/>
        </w:rPr>
        <w:t xml:space="preserve">, January. </w:t>
      </w:r>
      <w:r w:rsidRPr="00687A4B">
        <w:rPr>
          <w:rFonts w:ascii="Arial" w:hAnsi="Arial" w:cs="Arial"/>
          <w:u w:val="single"/>
        </w:rPr>
        <w:t>Configurations and coordination for global information technology governance: complex designs in a transnational European context.</w:t>
      </w:r>
      <w:r w:rsidRPr="00312389">
        <w:rPr>
          <w:rFonts w:ascii="Arial" w:hAnsi="Arial" w:cs="Arial"/>
        </w:rPr>
        <w:t xml:space="preserve"> In </w:t>
      </w:r>
      <w:r w:rsidRPr="00312389">
        <w:rPr>
          <w:rFonts w:ascii="Arial" w:hAnsi="Arial" w:cs="Arial"/>
          <w:i/>
          <w:iCs/>
        </w:rPr>
        <w:t>Proceedings of the 34th Annual Hawaii International Conference on System Sciences</w:t>
      </w:r>
      <w:r w:rsidRPr="00312389">
        <w:rPr>
          <w:rFonts w:ascii="Arial" w:hAnsi="Arial" w:cs="Arial"/>
        </w:rPr>
        <w:t xml:space="preserve"> (pp. 10-pp). IEEE.</w:t>
      </w:r>
    </w:p>
    <w:p w14:paraId="539CD09A" w14:textId="3771F6B3" w:rsidR="002A6A65" w:rsidRPr="00312389" w:rsidRDefault="002A6A65" w:rsidP="00D40EBB">
      <w:pPr>
        <w:spacing w:line="480" w:lineRule="auto"/>
        <w:rPr>
          <w:rFonts w:ascii="Arial" w:hAnsi="Arial" w:cs="Arial"/>
        </w:rPr>
      </w:pPr>
      <w:r w:rsidRPr="00312389">
        <w:rPr>
          <w:rFonts w:ascii="Arial" w:hAnsi="Arial" w:cs="Arial"/>
        </w:rPr>
        <w:t xml:space="preserve">Porter, M.E. and Kramer, M.R. (2019). </w:t>
      </w:r>
      <w:r w:rsidRPr="005129D6">
        <w:rPr>
          <w:rFonts w:ascii="Arial" w:hAnsi="Arial" w:cs="Arial"/>
          <w:u w:val="single"/>
        </w:rPr>
        <w:t>Creating shared value. In ​</w:t>
      </w:r>
      <w:r w:rsidRPr="005129D6">
        <w:rPr>
          <w:rFonts w:ascii="Arial" w:hAnsi="Arial" w:cs="Arial"/>
          <w:i/>
          <w:u w:val="single"/>
        </w:rPr>
        <w:t>Managing sustainable business</w:t>
      </w:r>
      <w:r w:rsidRPr="005129D6">
        <w:rPr>
          <w:rFonts w:ascii="Arial" w:hAnsi="Arial" w:cs="Arial"/>
          <w:u w:val="single"/>
        </w:rPr>
        <w:t>​</w:t>
      </w:r>
      <w:r w:rsidRPr="00312389">
        <w:rPr>
          <w:rFonts w:ascii="Arial" w:hAnsi="Arial" w:cs="Arial"/>
        </w:rPr>
        <w:t xml:space="preserve"> (pp. 323-346). Dordrecht: Springer. </w:t>
      </w:r>
    </w:p>
    <w:p w14:paraId="5ED306D6" w14:textId="3BDC4D4E" w:rsidR="00642D5B" w:rsidRPr="00312389" w:rsidRDefault="00642D5B" w:rsidP="00D40EBB">
      <w:pPr>
        <w:spacing w:line="480" w:lineRule="auto"/>
        <w:rPr>
          <w:rFonts w:ascii="Arial" w:hAnsi="Arial" w:cs="Arial"/>
        </w:rPr>
      </w:pPr>
      <w:r w:rsidRPr="00312389">
        <w:rPr>
          <w:rFonts w:ascii="Arial" w:hAnsi="Arial" w:cs="Arial"/>
        </w:rPr>
        <w:t>Porter, M.E.</w:t>
      </w:r>
      <w:r w:rsidR="003D1764" w:rsidRPr="00312389">
        <w:rPr>
          <w:rFonts w:ascii="Arial" w:hAnsi="Arial" w:cs="Arial"/>
        </w:rPr>
        <w:t xml:space="preserve"> (</w:t>
      </w:r>
      <w:r w:rsidRPr="00312389">
        <w:rPr>
          <w:rFonts w:ascii="Arial" w:hAnsi="Arial" w:cs="Arial"/>
        </w:rPr>
        <w:t>2008</w:t>
      </w:r>
      <w:r w:rsidR="003D1764" w:rsidRPr="00312389">
        <w:rPr>
          <w:rFonts w:ascii="Arial" w:hAnsi="Arial" w:cs="Arial"/>
        </w:rPr>
        <w:t>)</w:t>
      </w:r>
      <w:r w:rsidRPr="00312389">
        <w:rPr>
          <w:rFonts w:ascii="Arial" w:hAnsi="Arial" w:cs="Arial"/>
        </w:rPr>
        <w:t>. </w:t>
      </w:r>
      <w:r w:rsidRPr="00AA6C44">
        <w:rPr>
          <w:rFonts w:ascii="Arial" w:hAnsi="Arial" w:cs="Arial"/>
          <w:u w:val="single"/>
        </w:rPr>
        <w:t xml:space="preserve">Competitive strategy: Techniques for </w:t>
      </w:r>
      <w:proofErr w:type="spellStart"/>
      <w:r w:rsidRPr="00AA6C44">
        <w:rPr>
          <w:rFonts w:ascii="Arial" w:hAnsi="Arial" w:cs="Arial"/>
          <w:u w:val="single"/>
        </w:rPr>
        <w:t>analyzing</w:t>
      </w:r>
      <w:proofErr w:type="spellEnd"/>
      <w:r w:rsidRPr="00AA6C44">
        <w:rPr>
          <w:rFonts w:ascii="Arial" w:hAnsi="Arial" w:cs="Arial"/>
          <w:u w:val="single"/>
        </w:rPr>
        <w:t xml:space="preserve"> industries and competitors.</w:t>
      </w:r>
      <w:r w:rsidRPr="00312389">
        <w:rPr>
          <w:rFonts w:ascii="Arial" w:hAnsi="Arial" w:cs="Arial"/>
        </w:rPr>
        <w:t xml:space="preserve"> </w:t>
      </w:r>
      <w:r w:rsidR="002A6A65" w:rsidRPr="00312389">
        <w:rPr>
          <w:rFonts w:ascii="Arial" w:hAnsi="Arial" w:cs="Arial"/>
        </w:rPr>
        <w:t xml:space="preserve">New Jersey: </w:t>
      </w:r>
      <w:r w:rsidRPr="00312389">
        <w:rPr>
          <w:rFonts w:ascii="Arial" w:hAnsi="Arial" w:cs="Arial"/>
        </w:rPr>
        <w:t>Simon and Schuster.</w:t>
      </w:r>
    </w:p>
    <w:p w14:paraId="2363862B" w14:textId="3776C2D4" w:rsidR="000947AC" w:rsidRDefault="000947AC" w:rsidP="00D40EBB">
      <w:pPr>
        <w:spacing w:line="480" w:lineRule="auto"/>
        <w:rPr>
          <w:rFonts w:ascii="Arial" w:hAnsi="Arial" w:cs="Arial"/>
        </w:rPr>
      </w:pPr>
      <w:proofErr w:type="spellStart"/>
      <w:r w:rsidRPr="00312389">
        <w:rPr>
          <w:rFonts w:ascii="Arial" w:hAnsi="Arial" w:cs="Arial"/>
        </w:rPr>
        <w:t>Puklavec</w:t>
      </w:r>
      <w:proofErr w:type="spellEnd"/>
      <w:r w:rsidRPr="00312389">
        <w:rPr>
          <w:rFonts w:ascii="Arial" w:hAnsi="Arial" w:cs="Arial"/>
        </w:rPr>
        <w:t xml:space="preserve">, B., Oliveira, T. and </w:t>
      </w:r>
      <w:proofErr w:type="spellStart"/>
      <w:r w:rsidRPr="00312389">
        <w:rPr>
          <w:rFonts w:ascii="Arial" w:hAnsi="Arial" w:cs="Arial"/>
        </w:rPr>
        <w:t>Popovič</w:t>
      </w:r>
      <w:proofErr w:type="spellEnd"/>
      <w:r w:rsidRPr="00312389">
        <w:rPr>
          <w:rFonts w:ascii="Arial" w:hAnsi="Arial" w:cs="Arial"/>
        </w:rPr>
        <w:t xml:space="preserve">, A. (2018). </w:t>
      </w:r>
      <w:r w:rsidRPr="009E68FA">
        <w:rPr>
          <w:rFonts w:ascii="Arial" w:hAnsi="Arial" w:cs="Arial"/>
          <w:u w:val="single"/>
        </w:rPr>
        <w:t>Understanding the determinants of business intelligence system adoption stages: An empirical study of SMEs</w:t>
      </w:r>
      <w:r w:rsidRPr="00312389">
        <w:rPr>
          <w:rFonts w:ascii="Arial" w:hAnsi="Arial" w:cs="Arial"/>
        </w:rPr>
        <w:t>. Industrial Management &amp; Data Systems, 118(1), pp.236-261.</w:t>
      </w:r>
    </w:p>
    <w:p w14:paraId="5878F9FA" w14:textId="7E88D0FE" w:rsidR="00CD1E78" w:rsidRPr="00312389" w:rsidRDefault="00CD1E78" w:rsidP="00CD1E78">
      <w:pPr>
        <w:spacing w:line="480" w:lineRule="auto"/>
        <w:rPr>
          <w:rFonts w:ascii="Arial" w:hAnsi="Arial" w:cs="Arial"/>
        </w:rPr>
      </w:pPr>
      <w:proofErr w:type="spellStart"/>
      <w:r w:rsidRPr="00312389">
        <w:rPr>
          <w:rFonts w:ascii="Arial" w:hAnsi="Arial" w:cs="Arial"/>
        </w:rPr>
        <w:lastRenderedPageBreak/>
        <w:t>Rahimi</w:t>
      </w:r>
      <w:proofErr w:type="spellEnd"/>
      <w:r w:rsidRPr="00312389">
        <w:rPr>
          <w:rFonts w:ascii="Arial" w:hAnsi="Arial" w:cs="Arial"/>
        </w:rPr>
        <w:t xml:space="preserve">, F., </w:t>
      </w:r>
      <w:proofErr w:type="spellStart"/>
      <w:r w:rsidRPr="00312389">
        <w:rPr>
          <w:rFonts w:ascii="Arial" w:hAnsi="Arial" w:cs="Arial"/>
        </w:rPr>
        <w:t>Møller</w:t>
      </w:r>
      <w:proofErr w:type="spellEnd"/>
      <w:r w:rsidRPr="00312389">
        <w:rPr>
          <w:rFonts w:ascii="Arial" w:hAnsi="Arial" w:cs="Arial"/>
        </w:rPr>
        <w:t xml:space="preserve">, C. and </w:t>
      </w:r>
      <w:proofErr w:type="spellStart"/>
      <w:r w:rsidRPr="00312389">
        <w:rPr>
          <w:rFonts w:ascii="Arial" w:hAnsi="Arial" w:cs="Arial"/>
        </w:rPr>
        <w:t>Hvam</w:t>
      </w:r>
      <w:proofErr w:type="spellEnd"/>
      <w:r w:rsidRPr="00312389">
        <w:rPr>
          <w:rFonts w:ascii="Arial" w:hAnsi="Arial" w:cs="Arial"/>
        </w:rPr>
        <w:t>, L.</w:t>
      </w:r>
      <w:r>
        <w:rPr>
          <w:rFonts w:ascii="Arial" w:hAnsi="Arial" w:cs="Arial"/>
        </w:rPr>
        <w:t xml:space="preserve"> (</w:t>
      </w:r>
      <w:r w:rsidRPr="00312389">
        <w:rPr>
          <w:rFonts w:ascii="Arial" w:hAnsi="Arial" w:cs="Arial"/>
        </w:rPr>
        <w:t>2016</w:t>
      </w:r>
      <w:r>
        <w:rPr>
          <w:rFonts w:ascii="Arial" w:hAnsi="Arial" w:cs="Arial"/>
        </w:rPr>
        <w:t>)</w:t>
      </w:r>
      <w:r w:rsidRPr="00312389">
        <w:rPr>
          <w:rFonts w:ascii="Arial" w:hAnsi="Arial" w:cs="Arial"/>
        </w:rPr>
        <w:t xml:space="preserve">. </w:t>
      </w:r>
      <w:r w:rsidRPr="00CD1E78">
        <w:rPr>
          <w:rFonts w:ascii="Arial" w:hAnsi="Arial" w:cs="Arial"/>
          <w:u w:val="single"/>
        </w:rPr>
        <w:t>Business process management and IT management: The missing integration</w:t>
      </w:r>
      <w:r w:rsidRPr="00312389">
        <w:rPr>
          <w:rFonts w:ascii="Arial" w:hAnsi="Arial" w:cs="Arial"/>
        </w:rPr>
        <w:t>. ​</w:t>
      </w:r>
      <w:r w:rsidRPr="00312389">
        <w:rPr>
          <w:rFonts w:ascii="Arial" w:hAnsi="Arial" w:cs="Arial"/>
          <w:i/>
        </w:rPr>
        <w:t>International Journal of Information Management</w:t>
      </w:r>
      <w:r w:rsidRPr="00312389">
        <w:rPr>
          <w:rFonts w:ascii="Arial" w:hAnsi="Arial" w:cs="Arial"/>
        </w:rPr>
        <w:t>​, ​</w:t>
      </w:r>
      <w:r w:rsidRPr="00312389">
        <w:rPr>
          <w:rFonts w:ascii="Arial" w:hAnsi="Arial" w:cs="Arial"/>
          <w:i/>
        </w:rPr>
        <w:t>36</w:t>
      </w:r>
      <w:r w:rsidRPr="00312389">
        <w:rPr>
          <w:rFonts w:ascii="Arial" w:hAnsi="Arial" w:cs="Arial"/>
        </w:rPr>
        <w:t>​(1), pp.142-154.</w:t>
      </w:r>
    </w:p>
    <w:p w14:paraId="6A5F15AB" w14:textId="77777777" w:rsidR="002A6A65" w:rsidRPr="00312389" w:rsidRDefault="00642D5B" w:rsidP="00D40EBB">
      <w:pPr>
        <w:spacing w:line="480" w:lineRule="auto"/>
        <w:rPr>
          <w:rFonts w:ascii="Arial" w:hAnsi="Arial" w:cs="Arial"/>
        </w:rPr>
      </w:pPr>
      <w:r w:rsidRPr="00312389">
        <w:rPr>
          <w:rFonts w:ascii="Arial" w:hAnsi="Arial" w:cs="Arial"/>
        </w:rPr>
        <w:t xml:space="preserve">Rashid, A., </w:t>
      </w:r>
      <w:proofErr w:type="spellStart"/>
      <w:r w:rsidRPr="00312389">
        <w:rPr>
          <w:rFonts w:ascii="Arial" w:hAnsi="Arial" w:cs="Arial"/>
        </w:rPr>
        <w:t>Danezis</w:t>
      </w:r>
      <w:proofErr w:type="spellEnd"/>
      <w:r w:rsidRPr="00312389">
        <w:rPr>
          <w:rFonts w:ascii="Arial" w:hAnsi="Arial" w:cs="Arial"/>
        </w:rPr>
        <w:t xml:space="preserve">, G., </w:t>
      </w:r>
      <w:proofErr w:type="spellStart"/>
      <w:r w:rsidRPr="00312389">
        <w:rPr>
          <w:rFonts w:ascii="Arial" w:hAnsi="Arial" w:cs="Arial"/>
        </w:rPr>
        <w:t>Chivers</w:t>
      </w:r>
      <w:proofErr w:type="spellEnd"/>
      <w:r w:rsidRPr="00312389">
        <w:rPr>
          <w:rFonts w:ascii="Arial" w:hAnsi="Arial" w:cs="Arial"/>
        </w:rPr>
        <w:t xml:space="preserve">, H., </w:t>
      </w:r>
      <w:proofErr w:type="spellStart"/>
      <w:r w:rsidRPr="00312389">
        <w:rPr>
          <w:rFonts w:ascii="Arial" w:hAnsi="Arial" w:cs="Arial"/>
        </w:rPr>
        <w:t>Lupu</w:t>
      </w:r>
      <w:proofErr w:type="spellEnd"/>
      <w:r w:rsidRPr="00312389">
        <w:rPr>
          <w:rFonts w:ascii="Arial" w:hAnsi="Arial" w:cs="Arial"/>
        </w:rPr>
        <w:t xml:space="preserve">, E., Martin, A., Lewis, M. and </w:t>
      </w:r>
      <w:proofErr w:type="spellStart"/>
      <w:r w:rsidRPr="00312389">
        <w:rPr>
          <w:rFonts w:ascii="Arial" w:hAnsi="Arial" w:cs="Arial"/>
        </w:rPr>
        <w:t>Peersman</w:t>
      </w:r>
      <w:proofErr w:type="spellEnd"/>
      <w:r w:rsidRPr="00312389">
        <w:rPr>
          <w:rFonts w:ascii="Arial" w:hAnsi="Arial" w:cs="Arial"/>
        </w:rPr>
        <w:t>, C.</w:t>
      </w:r>
      <w:r w:rsidR="003D1764" w:rsidRPr="00312389">
        <w:rPr>
          <w:rFonts w:ascii="Arial" w:hAnsi="Arial" w:cs="Arial"/>
        </w:rPr>
        <w:t xml:space="preserve"> (</w:t>
      </w:r>
      <w:r w:rsidRPr="00312389">
        <w:rPr>
          <w:rFonts w:ascii="Arial" w:hAnsi="Arial" w:cs="Arial"/>
        </w:rPr>
        <w:t>2018</w:t>
      </w:r>
      <w:r w:rsidR="003D1764" w:rsidRPr="00312389">
        <w:rPr>
          <w:rFonts w:ascii="Arial" w:hAnsi="Arial" w:cs="Arial"/>
        </w:rPr>
        <w:t>)</w:t>
      </w:r>
      <w:r w:rsidRPr="00312389">
        <w:rPr>
          <w:rFonts w:ascii="Arial" w:hAnsi="Arial" w:cs="Arial"/>
        </w:rPr>
        <w:t xml:space="preserve">. </w:t>
      </w:r>
      <w:r w:rsidRPr="009E68FA">
        <w:rPr>
          <w:rFonts w:ascii="Arial" w:hAnsi="Arial" w:cs="Arial"/>
          <w:u w:val="single"/>
        </w:rPr>
        <w:t>Scoping the Cyber Security Body of Knowledge</w:t>
      </w:r>
      <w:r w:rsidRPr="00312389">
        <w:rPr>
          <w:rFonts w:ascii="Arial" w:hAnsi="Arial" w:cs="Arial"/>
        </w:rPr>
        <w:t xml:space="preserve">. </w:t>
      </w:r>
      <w:r w:rsidRPr="00312389">
        <w:rPr>
          <w:rFonts w:ascii="Arial" w:hAnsi="Arial" w:cs="Arial"/>
          <w:i/>
          <w:iCs/>
        </w:rPr>
        <w:t>IEEE Security &amp; Privacy</w:t>
      </w:r>
      <w:r w:rsidRPr="00312389">
        <w:rPr>
          <w:rFonts w:ascii="Arial" w:hAnsi="Arial" w:cs="Arial"/>
        </w:rPr>
        <w:t xml:space="preserve">, </w:t>
      </w:r>
      <w:r w:rsidRPr="00312389">
        <w:rPr>
          <w:rFonts w:ascii="Arial" w:hAnsi="Arial" w:cs="Arial"/>
          <w:i/>
          <w:iCs/>
        </w:rPr>
        <w:t>16</w:t>
      </w:r>
      <w:r w:rsidRPr="00312389">
        <w:rPr>
          <w:rFonts w:ascii="Arial" w:hAnsi="Arial" w:cs="Arial"/>
        </w:rPr>
        <w:t>(3), pp.96-102.</w:t>
      </w:r>
    </w:p>
    <w:p w14:paraId="4960F194" w14:textId="77777777" w:rsidR="002A6A65" w:rsidRPr="00312389" w:rsidRDefault="002A6A65" w:rsidP="00D40EBB">
      <w:pPr>
        <w:spacing w:line="480" w:lineRule="auto"/>
        <w:rPr>
          <w:rFonts w:ascii="Arial" w:hAnsi="Arial" w:cs="Arial"/>
        </w:rPr>
      </w:pPr>
      <w:proofErr w:type="spellStart"/>
      <w:r w:rsidRPr="00312389">
        <w:rPr>
          <w:rFonts w:ascii="Arial" w:hAnsi="Arial" w:cs="Arial"/>
        </w:rPr>
        <w:t>Ribbers</w:t>
      </w:r>
      <w:proofErr w:type="spellEnd"/>
      <w:r w:rsidRPr="00312389">
        <w:rPr>
          <w:rFonts w:ascii="Arial" w:hAnsi="Arial" w:cs="Arial"/>
        </w:rPr>
        <w:t xml:space="preserve">, P.M., Peterson, R.R. and Parker, M.M. (2002), January. </w:t>
      </w:r>
      <w:r w:rsidRPr="009E68FA">
        <w:rPr>
          <w:rFonts w:ascii="Arial" w:hAnsi="Arial" w:cs="Arial"/>
          <w:u w:val="single"/>
        </w:rPr>
        <w:t>Designing information technology governance processes: diagnosing contemporary practices and competing theories</w:t>
      </w:r>
      <w:r w:rsidRPr="00312389">
        <w:rPr>
          <w:rFonts w:ascii="Arial" w:hAnsi="Arial" w:cs="Arial"/>
        </w:rPr>
        <w:t>. In ​</w:t>
      </w:r>
      <w:r w:rsidRPr="00312389">
        <w:rPr>
          <w:rFonts w:ascii="Arial" w:hAnsi="Arial" w:cs="Arial"/>
          <w:i/>
        </w:rPr>
        <w:t>Proceedings of the 35th annual Hawaii international conference on system sciences</w:t>
      </w:r>
      <w:r w:rsidRPr="00312389">
        <w:rPr>
          <w:rFonts w:ascii="Arial" w:hAnsi="Arial" w:cs="Arial"/>
        </w:rPr>
        <w:t xml:space="preserve">​ (pp. 3143-3154). IEEE. </w:t>
      </w:r>
    </w:p>
    <w:p w14:paraId="05A7B8AF" w14:textId="77777777" w:rsidR="004B2B80" w:rsidRDefault="002A6A65" w:rsidP="00D40EBB">
      <w:pPr>
        <w:spacing w:line="480" w:lineRule="auto"/>
        <w:rPr>
          <w:rFonts w:ascii="Arial" w:hAnsi="Arial" w:cs="Arial"/>
        </w:rPr>
      </w:pPr>
      <w:r w:rsidRPr="00312389">
        <w:rPr>
          <w:rFonts w:ascii="Arial" w:hAnsi="Arial" w:cs="Arial"/>
        </w:rPr>
        <w:t xml:space="preserve">Robinson, N. (2005). </w:t>
      </w:r>
      <w:r w:rsidRPr="009E68FA">
        <w:rPr>
          <w:rFonts w:ascii="Arial" w:hAnsi="Arial" w:cs="Arial"/>
          <w:u w:val="single"/>
        </w:rPr>
        <w:t>IT excellence starts with governance. ​</w:t>
      </w:r>
      <w:r w:rsidRPr="00C93F87">
        <w:rPr>
          <w:rFonts w:ascii="Arial" w:hAnsi="Arial" w:cs="Arial"/>
          <w:i/>
        </w:rPr>
        <w:t>Journal of investment compliance</w:t>
      </w:r>
      <w:r w:rsidRPr="00C93F87">
        <w:rPr>
          <w:rFonts w:ascii="Arial" w:hAnsi="Arial" w:cs="Arial"/>
        </w:rPr>
        <w:t>​</w:t>
      </w:r>
      <w:r w:rsidRPr="00312389">
        <w:rPr>
          <w:rFonts w:ascii="Arial" w:hAnsi="Arial" w:cs="Arial"/>
        </w:rPr>
        <w:t>, ​</w:t>
      </w:r>
      <w:r w:rsidRPr="00312389">
        <w:rPr>
          <w:rFonts w:ascii="Arial" w:hAnsi="Arial" w:cs="Arial"/>
          <w:i/>
        </w:rPr>
        <w:t>6</w:t>
      </w:r>
      <w:r w:rsidRPr="00312389">
        <w:rPr>
          <w:rFonts w:ascii="Arial" w:hAnsi="Arial" w:cs="Arial"/>
        </w:rPr>
        <w:t xml:space="preserve">​(3), pp.45-49. </w:t>
      </w:r>
    </w:p>
    <w:p w14:paraId="533CC751" w14:textId="77777777" w:rsidR="002A6A65" w:rsidRPr="00312389" w:rsidRDefault="00642D5B" w:rsidP="00D40EBB">
      <w:pPr>
        <w:spacing w:line="480" w:lineRule="auto"/>
        <w:rPr>
          <w:rFonts w:ascii="Arial" w:hAnsi="Arial" w:cs="Arial"/>
        </w:rPr>
      </w:pPr>
      <w:bookmarkStart w:id="53" w:name="_Hlk14251835"/>
      <w:proofErr w:type="spellStart"/>
      <w:r w:rsidRPr="00312389">
        <w:rPr>
          <w:rFonts w:ascii="Arial" w:hAnsi="Arial" w:cs="Arial"/>
        </w:rPr>
        <w:t>Saeidi</w:t>
      </w:r>
      <w:proofErr w:type="spellEnd"/>
      <w:r w:rsidRPr="00312389">
        <w:rPr>
          <w:rFonts w:ascii="Arial" w:hAnsi="Arial" w:cs="Arial"/>
        </w:rPr>
        <w:t>,</w:t>
      </w:r>
      <w:bookmarkEnd w:id="53"/>
      <w:r w:rsidRPr="00312389">
        <w:rPr>
          <w:rFonts w:ascii="Arial" w:hAnsi="Arial" w:cs="Arial"/>
        </w:rPr>
        <w:t xml:space="preserve"> P., </w:t>
      </w:r>
      <w:proofErr w:type="spellStart"/>
      <w:r w:rsidRPr="00312389">
        <w:rPr>
          <w:rFonts w:ascii="Arial" w:hAnsi="Arial" w:cs="Arial"/>
        </w:rPr>
        <w:t>Saeidi</w:t>
      </w:r>
      <w:proofErr w:type="spellEnd"/>
      <w:r w:rsidRPr="00312389">
        <w:rPr>
          <w:rFonts w:ascii="Arial" w:hAnsi="Arial" w:cs="Arial"/>
        </w:rPr>
        <w:t xml:space="preserve">, S.P., Sofian, S., </w:t>
      </w:r>
      <w:proofErr w:type="spellStart"/>
      <w:r w:rsidRPr="00312389">
        <w:rPr>
          <w:rFonts w:ascii="Arial" w:hAnsi="Arial" w:cs="Arial"/>
        </w:rPr>
        <w:t>Saeidi</w:t>
      </w:r>
      <w:proofErr w:type="spellEnd"/>
      <w:r w:rsidRPr="00312389">
        <w:rPr>
          <w:rFonts w:ascii="Arial" w:hAnsi="Arial" w:cs="Arial"/>
        </w:rPr>
        <w:t xml:space="preserve">, S.P., </w:t>
      </w:r>
      <w:proofErr w:type="spellStart"/>
      <w:r w:rsidRPr="00312389">
        <w:rPr>
          <w:rFonts w:ascii="Arial" w:hAnsi="Arial" w:cs="Arial"/>
        </w:rPr>
        <w:t>Nilashi</w:t>
      </w:r>
      <w:proofErr w:type="spellEnd"/>
      <w:r w:rsidRPr="00312389">
        <w:rPr>
          <w:rFonts w:ascii="Arial" w:hAnsi="Arial" w:cs="Arial"/>
        </w:rPr>
        <w:t xml:space="preserve">, M. and </w:t>
      </w:r>
      <w:proofErr w:type="spellStart"/>
      <w:r w:rsidRPr="00312389">
        <w:rPr>
          <w:rFonts w:ascii="Arial" w:hAnsi="Arial" w:cs="Arial"/>
        </w:rPr>
        <w:t>Mardani</w:t>
      </w:r>
      <w:proofErr w:type="spellEnd"/>
      <w:r w:rsidRPr="00312389">
        <w:rPr>
          <w:rFonts w:ascii="Arial" w:hAnsi="Arial" w:cs="Arial"/>
        </w:rPr>
        <w:t>, A.</w:t>
      </w:r>
      <w:r w:rsidR="003D1764" w:rsidRPr="00312389">
        <w:rPr>
          <w:rFonts w:ascii="Arial" w:hAnsi="Arial" w:cs="Arial"/>
        </w:rPr>
        <w:t xml:space="preserve"> (</w:t>
      </w:r>
      <w:r w:rsidRPr="00312389">
        <w:rPr>
          <w:rFonts w:ascii="Arial" w:hAnsi="Arial" w:cs="Arial"/>
        </w:rPr>
        <w:t>2019</w:t>
      </w:r>
      <w:r w:rsidR="003D1764" w:rsidRPr="00312389">
        <w:rPr>
          <w:rFonts w:ascii="Arial" w:hAnsi="Arial" w:cs="Arial"/>
        </w:rPr>
        <w:t>)</w:t>
      </w:r>
      <w:r w:rsidRPr="00312389">
        <w:rPr>
          <w:rFonts w:ascii="Arial" w:hAnsi="Arial" w:cs="Arial"/>
        </w:rPr>
        <w:t xml:space="preserve">. </w:t>
      </w:r>
      <w:r w:rsidRPr="009D118F">
        <w:rPr>
          <w:rFonts w:ascii="Arial" w:hAnsi="Arial" w:cs="Arial"/>
          <w:u w:val="single"/>
        </w:rPr>
        <w:t>The impact of enterprise risk management on competitive advantage by moderating role of information technology</w:t>
      </w:r>
      <w:r w:rsidRPr="00312389">
        <w:rPr>
          <w:rFonts w:ascii="Arial" w:hAnsi="Arial" w:cs="Arial"/>
        </w:rPr>
        <w:t>. </w:t>
      </w:r>
      <w:r w:rsidRPr="00312389">
        <w:rPr>
          <w:rFonts w:ascii="Arial" w:hAnsi="Arial" w:cs="Arial"/>
          <w:i/>
          <w:iCs/>
        </w:rPr>
        <w:t>Computer Standards &amp; Interfaces</w:t>
      </w:r>
      <w:r w:rsidRPr="00312389">
        <w:rPr>
          <w:rFonts w:ascii="Arial" w:hAnsi="Arial" w:cs="Arial"/>
        </w:rPr>
        <w:t>, </w:t>
      </w:r>
      <w:r w:rsidRPr="00312389">
        <w:rPr>
          <w:rFonts w:ascii="Arial" w:hAnsi="Arial" w:cs="Arial"/>
          <w:i/>
          <w:iCs/>
        </w:rPr>
        <w:t>63</w:t>
      </w:r>
      <w:r w:rsidRPr="00312389">
        <w:rPr>
          <w:rFonts w:ascii="Arial" w:hAnsi="Arial" w:cs="Arial"/>
        </w:rPr>
        <w:t>, pp.67-82.</w:t>
      </w:r>
    </w:p>
    <w:p w14:paraId="42BED7DF" w14:textId="77777777" w:rsidR="002A6A65" w:rsidRPr="00312389" w:rsidRDefault="002A6A65" w:rsidP="00D40EBB">
      <w:pPr>
        <w:spacing w:line="480" w:lineRule="auto"/>
        <w:rPr>
          <w:rFonts w:ascii="Arial" w:hAnsi="Arial" w:cs="Arial"/>
        </w:rPr>
      </w:pPr>
      <w:proofErr w:type="spellStart"/>
      <w:r w:rsidRPr="00312389">
        <w:rPr>
          <w:rFonts w:ascii="Arial" w:hAnsi="Arial" w:cs="Arial"/>
        </w:rPr>
        <w:t>Safa</w:t>
      </w:r>
      <w:proofErr w:type="spellEnd"/>
      <w:r w:rsidRPr="00312389">
        <w:rPr>
          <w:rFonts w:ascii="Arial" w:hAnsi="Arial" w:cs="Arial"/>
        </w:rPr>
        <w:t xml:space="preserve">, N.S., Von </w:t>
      </w:r>
      <w:proofErr w:type="spellStart"/>
      <w:r w:rsidRPr="00312389">
        <w:rPr>
          <w:rFonts w:ascii="Arial" w:hAnsi="Arial" w:cs="Arial"/>
        </w:rPr>
        <w:t>Solms</w:t>
      </w:r>
      <w:proofErr w:type="spellEnd"/>
      <w:r w:rsidRPr="00312389">
        <w:rPr>
          <w:rFonts w:ascii="Arial" w:hAnsi="Arial" w:cs="Arial"/>
        </w:rPr>
        <w:t xml:space="preserve">, R. and </w:t>
      </w:r>
      <w:proofErr w:type="spellStart"/>
      <w:r w:rsidRPr="00312389">
        <w:rPr>
          <w:rFonts w:ascii="Arial" w:hAnsi="Arial" w:cs="Arial"/>
        </w:rPr>
        <w:t>Furnell</w:t>
      </w:r>
      <w:proofErr w:type="spellEnd"/>
      <w:r w:rsidRPr="00312389">
        <w:rPr>
          <w:rFonts w:ascii="Arial" w:hAnsi="Arial" w:cs="Arial"/>
        </w:rPr>
        <w:t xml:space="preserve">, S. (2016). </w:t>
      </w:r>
      <w:r w:rsidRPr="009D118F">
        <w:rPr>
          <w:rFonts w:ascii="Arial" w:hAnsi="Arial" w:cs="Arial"/>
          <w:u w:val="single"/>
        </w:rPr>
        <w:t>Information security policy compliance model in organizations.</w:t>
      </w:r>
      <w:r w:rsidRPr="00312389">
        <w:rPr>
          <w:rFonts w:ascii="Arial" w:hAnsi="Arial" w:cs="Arial"/>
        </w:rPr>
        <w:t xml:space="preserve"> </w:t>
      </w:r>
      <w:r w:rsidRPr="00312389">
        <w:rPr>
          <w:rFonts w:ascii="Arial" w:hAnsi="Arial" w:cs="Arial"/>
          <w:i/>
        </w:rPr>
        <w:t>computers &amp; security</w:t>
      </w:r>
      <w:r w:rsidRPr="00312389">
        <w:rPr>
          <w:rFonts w:ascii="Arial" w:hAnsi="Arial" w:cs="Arial"/>
        </w:rPr>
        <w:t>​, ​</w:t>
      </w:r>
      <w:r w:rsidRPr="00312389">
        <w:rPr>
          <w:rFonts w:ascii="Arial" w:hAnsi="Arial" w:cs="Arial"/>
          <w:i/>
        </w:rPr>
        <w:t>56</w:t>
      </w:r>
      <w:r w:rsidRPr="00312389">
        <w:rPr>
          <w:rFonts w:ascii="Arial" w:hAnsi="Arial" w:cs="Arial"/>
        </w:rPr>
        <w:t xml:space="preserve">​, pp.70-82. </w:t>
      </w:r>
    </w:p>
    <w:p w14:paraId="14280220" w14:textId="77777777" w:rsidR="00160DB1" w:rsidRPr="00312389" w:rsidRDefault="002A6A65" w:rsidP="00D40EBB">
      <w:pPr>
        <w:spacing w:line="480" w:lineRule="auto"/>
        <w:rPr>
          <w:rFonts w:ascii="Arial" w:hAnsi="Arial" w:cs="Arial"/>
        </w:rPr>
      </w:pPr>
      <w:r w:rsidRPr="00312389">
        <w:rPr>
          <w:rFonts w:ascii="Arial" w:hAnsi="Arial" w:cs="Arial"/>
        </w:rPr>
        <w:t xml:space="preserve">Saini, H., Rao, Y.S. and Panda, T.C. (2012). </w:t>
      </w:r>
      <w:r w:rsidRPr="00E52AA1">
        <w:rPr>
          <w:rFonts w:ascii="Arial" w:hAnsi="Arial" w:cs="Arial"/>
          <w:u w:val="single"/>
        </w:rPr>
        <w:t>Cyber-crimes and their impacts: A review</w:t>
      </w:r>
      <w:r w:rsidRPr="00312389">
        <w:rPr>
          <w:rFonts w:ascii="Arial" w:hAnsi="Arial" w:cs="Arial"/>
        </w:rPr>
        <w:t xml:space="preserve">. </w:t>
      </w:r>
      <w:r w:rsidRPr="00312389">
        <w:rPr>
          <w:rFonts w:ascii="Arial" w:hAnsi="Arial" w:cs="Arial"/>
          <w:i/>
        </w:rPr>
        <w:t>International Journal of</w:t>
      </w:r>
      <w:r w:rsidRPr="00312389">
        <w:rPr>
          <w:rFonts w:ascii="Arial" w:hAnsi="Arial" w:cs="Arial"/>
        </w:rPr>
        <w:t xml:space="preserve">​ </w:t>
      </w:r>
      <w:r w:rsidRPr="00312389">
        <w:rPr>
          <w:rFonts w:ascii="Arial" w:hAnsi="Arial" w:cs="Arial"/>
          <w:i/>
        </w:rPr>
        <w:t>Engineering Research and Applications</w:t>
      </w:r>
      <w:r w:rsidRPr="00312389">
        <w:rPr>
          <w:rFonts w:ascii="Arial" w:hAnsi="Arial" w:cs="Arial"/>
        </w:rPr>
        <w:t>​, ​</w:t>
      </w:r>
      <w:r w:rsidRPr="00312389">
        <w:rPr>
          <w:rFonts w:ascii="Arial" w:hAnsi="Arial" w:cs="Arial"/>
          <w:i/>
        </w:rPr>
        <w:t>2</w:t>
      </w:r>
      <w:r w:rsidRPr="00312389">
        <w:rPr>
          <w:rFonts w:ascii="Arial" w:hAnsi="Arial" w:cs="Arial"/>
        </w:rPr>
        <w:t>​(2), pp.202-209.</w:t>
      </w:r>
    </w:p>
    <w:p w14:paraId="60908F8D" w14:textId="2D1F73A5" w:rsidR="00160DB1" w:rsidRPr="00312389" w:rsidRDefault="002A6A65" w:rsidP="00D40EBB">
      <w:pPr>
        <w:spacing w:line="480" w:lineRule="auto"/>
        <w:rPr>
          <w:rFonts w:ascii="Arial" w:hAnsi="Arial" w:cs="Arial"/>
        </w:rPr>
      </w:pPr>
      <w:proofErr w:type="spellStart"/>
      <w:r w:rsidRPr="00312389">
        <w:rPr>
          <w:rFonts w:ascii="Arial" w:hAnsi="Arial" w:cs="Arial"/>
        </w:rPr>
        <w:lastRenderedPageBreak/>
        <w:t>Sallé</w:t>
      </w:r>
      <w:proofErr w:type="spellEnd"/>
      <w:r w:rsidRPr="00312389">
        <w:rPr>
          <w:rFonts w:ascii="Arial" w:hAnsi="Arial" w:cs="Arial"/>
        </w:rPr>
        <w:t>, M.</w:t>
      </w:r>
      <w:r w:rsidR="00E52AA1">
        <w:rPr>
          <w:rFonts w:ascii="Arial" w:hAnsi="Arial" w:cs="Arial"/>
        </w:rPr>
        <w:t xml:space="preserve"> (</w:t>
      </w:r>
      <w:r w:rsidRPr="00312389">
        <w:rPr>
          <w:rFonts w:ascii="Arial" w:hAnsi="Arial" w:cs="Arial"/>
        </w:rPr>
        <w:t>2004</w:t>
      </w:r>
      <w:r w:rsidR="00E52AA1">
        <w:rPr>
          <w:rFonts w:ascii="Arial" w:hAnsi="Arial" w:cs="Arial"/>
        </w:rPr>
        <w:t>)</w:t>
      </w:r>
      <w:r w:rsidRPr="00312389">
        <w:rPr>
          <w:rFonts w:ascii="Arial" w:hAnsi="Arial" w:cs="Arial"/>
        </w:rPr>
        <w:t xml:space="preserve">. </w:t>
      </w:r>
      <w:r w:rsidRPr="00E52AA1">
        <w:rPr>
          <w:rFonts w:ascii="Arial" w:hAnsi="Arial" w:cs="Arial"/>
          <w:u w:val="single"/>
        </w:rPr>
        <w:t>IT Service Management and IT Governance: review, comparative analysis and their impact on utility computing</w:t>
      </w:r>
      <w:r w:rsidRPr="00312389">
        <w:rPr>
          <w:rFonts w:ascii="Arial" w:hAnsi="Arial" w:cs="Arial"/>
        </w:rPr>
        <w:t>. ​</w:t>
      </w:r>
      <w:r w:rsidRPr="00312389">
        <w:rPr>
          <w:rFonts w:ascii="Arial" w:hAnsi="Arial" w:cs="Arial"/>
          <w:i/>
        </w:rPr>
        <w:t>Hewlett-Packard Company</w:t>
      </w:r>
      <w:r w:rsidRPr="00312389">
        <w:rPr>
          <w:rFonts w:ascii="Arial" w:hAnsi="Arial" w:cs="Arial"/>
        </w:rPr>
        <w:t xml:space="preserve">​, pp.8-17. </w:t>
      </w:r>
    </w:p>
    <w:p w14:paraId="688ABC3B" w14:textId="5B8A061C" w:rsidR="00642D5B" w:rsidRPr="00312389" w:rsidRDefault="00642D5B" w:rsidP="00D40EBB">
      <w:pPr>
        <w:spacing w:line="480" w:lineRule="auto"/>
        <w:rPr>
          <w:rFonts w:ascii="Arial" w:hAnsi="Arial" w:cs="Arial"/>
        </w:rPr>
      </w:pPr>
      <w:proofErr w:type="spellStart"/>
      <w:r w:rsidRPr="00312389">
        <w:rPr>
          <w:rFonts w:ascii="Arial" w:hAnsi="Arial" w:cs="Arial"/>
        </w:rPr>
        <w:t>Sambamurthy</w:t>
      </w:r>
      <w:proofErr w:type="spellEnd"/>
      <w:r w:rsidRPr="00312389">
        <w:rPr>
          <w:rFonts w:ascii="Arial" w:hAnsi="Arial" w:cs="Arial"/>
        </w:rPr>
        <w:t xml:space="preserve">, V. and </w:t>
      </w:r>
      <w:proofErr w:type="spellStart"/>
      <w:r w:rsidRPr="00312389">
        <w:rPr>
          <w:rFonts w:ascii="Arial" w:hAnsi="Arial" w:cs="Arial"/>
        </w:rPr>
        <w:t>Zmud</w:t>
      </w:r>
      <w:proofErr w:type="spellEnd"/>
      <w:r w:rsidRPr="00312389">
        <w:rPr>
          <w:rFonts w:ascii="Arial" w:hAnsi="Arial" w:cs="Arial"/>
        </w:rPr>
        <w:t>, R.W.</w:t>
      </w:r>
      <w:r w:rsidR="003D1764" w:rsidRPr="00312389">
        <w:rPr>
          <w:rFonts w:ascii="Arial" w:hAnsi="Arial" w:cs="Arial"/>
        </w:rPr>
        <w:t xml:space="preserve"> (</w:t>
      </w:r>
      <w:r w:rsidRPr="00312389">
        <w:rPr>
          <w:rFonts w:ascii="Arial" w:hAnsi="Arial" w:cs="Arial"/>
        </w:rPr>
        <w:t>1999</w:t>
      </w:r>
      <w:r w:rsidR="003D1764" w:rsidRPr="00312389">
        <w:rPr>
          <w:rFonts w:ascii="Arial" w:hAnsi="Arial" w:cs="Arial"/>
        </w:rPr>
        <w:t>)</w:t>
      </w:r>
      <w:r w:rsidRPr="00312389">
        <w:rPr>
          <w:rFonts w:ascii="Arial" w:hAnsi="Arial" w:cs="Arial"/>
        </w:rPr>
        <w:t xml:space="preserve">. </w:t>
      </w:r>
      <w:r w:rsidRPr="00E52AA1">
        <w:rPr>
          <w:rFonts w:ascii="Arial" w:hAnsi="Arial" w:cs="Arial"/>
          <w:u w:val="single"/>
        </w:rPr>
        <w:t>Arrangements for information technology governance: A theory of multiple contingencies</w:t>
      </w:r>
      <w:r w:rsidRPr="00312389">
        <w:rPr>
          <w:rFonts w:ascii="Arial" w:hAnsi="Arial" w:cs="Arial"/>
        </w:rPr>
        <w:t>. </w:t>
      </w:r>
      <w:r w:rsidRPr="00312389">
        <w:rPr>
          <w:rFonts w:ascii="Arial" w:hAnsi="Arial" w:cs="Arial"/>
          <w:i/>
          <w:iCs/>
        </w:rPr>
        <w:t>MIS quarterly</w:t>
      </w:r>
      <w:r w:rsidRPr="00312389">
        <w:rPr>
          <w:rFonts w:ascii="Arial" w:hAnsi="Arial" w:cs="Arial"/>
        </w:rPr>
        <w:t>, pp.261-290.</w:t>
      </w:r>
    </w:p>
    <w:p w14:paraId="25C04C55" w14:textId="78721C18" w:rsidR="00160DB1" w:rsidRPr="00312389" w:rsidRDefault="00160DB1" w:rsidP="00D40EBB">
      <w:pPr>
        <w:spacing w:line="480" w:lineRule="auto"/>
        <w:rPr>
          <w:rFonts w:ascii="Arial" w:hAnsi="Arial" w:cs="Arial"/>
        </w:rPr>
      </w:pPr>
      <w:r w:rsidRPr="00312389">
        <w:rPr>
          <w:rFonts w:ascii="Arial" w:hAnsi="Arial" w:cs="Arial"/>
        </w:rPr>
        <w:t xml:space="preserve">Sandberg, A. (2019). </w:t>
      </w:r>
      <w:r w:rsidRPr="00E52AA1">
        <w:rPr>
          <w:rFonts w:ascii="Arial" w:hAnsi="Arial" w:cs="Arial"/>
          <w:u w:val="single"/>
        </w:rPr>
        <w:t>There is plenty of time at the bottom: the economics, risk and ethics of time compression</w:t>
      </w:r>
      <w:r w:rsidRPr="00312389">
        <w:rPr>
          <w:rFonts w:ascii="Arial" w:hAnsi="Arial" w:cs="Arial"/>
        </w:rPr>
        <w:t xml:space="preserve">. </w:t>
      </w:r>
      <w:r w:rsidRPr="00312389">
        <w:rPr>
          <w:rFonts w:ascii="Arial" w:hAnsi="Arial" w:cs="Arial"/>
          <w:i/>
        </w:rPr>
        <w:t>foresight</w:t>
      </w:r>
      <w:r w:rsidRPr="00312389">
        <w:rPr>
          <w:rFonts w:ascii="Arial" w:hAnsi="Arial" w:cs="Arial"/>
        </w:rPr>
        <w:t>​, ​</w:t>
      </w:r>
      <w:r w:rsidRPr="00312389">
        <w:rPr>
          <w:rFonts w:ascii="Arial" w:hAnsi="Arial" w:cs="Arial"/>
          <w:i/>
        </w:rPr>
        <w:t>21</w:t>
      </w:r>
      <w:r w:rsidRPr="00312389">
        <w:rPr>
          <w:rFonts w:ascii="Arial" w:hAnsi="Arial" w:cs="Arial"/>
        </w:rPr>
        <w:t xml:space="preserve">​(1), pp.84-99. </w:t>
      </w:r>
    </w:p>
    <w:p w14:paraId="3C90626D" w14:textId="77777777" w:rsidR="000947AC" w:rsidRPr="00312389" w:rsidRDefault="000947AC" w:rsidP="00D40EBB">
      <w:pPr>
        <w:spacing w:line="480" w:lineRule="auto"/>
        <w:rPr>
          <w:rFonts w:ascii="Arial" w:hAnsi="Arial" w:cs="Arial"/>
        </w:rPr>
      </w:pPr>
      <w:r w:rsidRPr="00312389">
        <w:rPr>
          <w:rFonts w:ascii="Arial" w:hAnsi="Arial" w:cs="Arial"/>
        </w:rPr>
        <w:t xml:space="preserve">Saunders, M., Lewis, P. and Thornhill, A. (2007). </w:t>
      </w:r>
      <w:r w:rsidRPr="00E52AA1">
        <w:rPr>
          <w:rFonts w:ascii="Arial" w:hAnsi="Arial" w:cs="Arial"/>
          <w:u w:val="single"/>
        </w:rPr>
        <w:t>Research methods. </w:t>
      </w:r>
      <w:r w:rsidRPr="00E52AA1">
        <w:rPr>
          <w:rFonts w:ascii="Arial" w:hAnsi="Arial" w:cs="Arial"/>
          <w:i/>
          <w:iCs/>
          <w:u w:val="single"/>
        </w:rPr>
        <w:t>Business Students</w:t>
      </w:r>
      <w:r w:rsidRPr="00E52AA1">
        <w:rPr>
          <w:rFonts w:ascii="Arial" w:hAnsi="Arial" w:cs="Arial"/>
          <w:u w:val="single"/>
        </w:rPr>
        <w:t>.</w:t>
      </w:r>
      <w:r w:rsidRPr="00312389">
        <w:rPr>
          <w:rFonts w:ascii="Arial" w:hAnsi="Arial" w:cs="Arial"/>
        </w:rPr>
        <w:t xml:space="preserve"> London: Pearson.</w:t>
      </w:r>
    </w:p>
    <w:p w14:paraId="04620E4E" w14:textId="235232E4" w:rsidR="000947AC" w:rsidRPr="00312389" w:rsidRDefault="00642D5B" w:rsidP="00D40EBB">
      <w:pPr>
        <w:spacing w:line="480" w:lineRule="auto"/>
        <w:rPr>
          <w:rFonts w:ascii="Arial" w:hAnsi="Arial" w:cs="Arial"/>
        </w:rPr>
      </w:pPr>
      <w:r w:rsidRPr="00312389">
        <w:rPr>
          <w:rFonts w:ascii="Arial" w:hAnsi="Arial" w:cs="Arial"/>
        </w:rPr>
        <w:t>Savage, J.E. and McConnell, B.W.</w:t>
      </w:r>
      <w:r w:rsidR="003D1764" w:rsidRPr="00312389">
        <w:rPr>
          <w:rFonts w:ascii="Arial" w:hAnsi="Arial" w:cs="Arial"/>
        </w:rPr>
        <w:t xml:space="preserve"> (</w:t>
      </w:r>
      <w:r w:rsidRPr="00312389">
        <w:rPr>
          <w:rFonts w:ascii="Arial" w:hAnsi="Arial" w:cs="Arial"/>
        </w:rPr>
        <w:t>2015</w:t>
      </w:r>
      <w:r w:rsidR="003D1764" w:rsidRPr="00312389">
        <w:rPr>
          <w:rFonts w:ascii="Arial" w:hAnsi="Arial" w:cs="Arial"/>
        </w:rPr>
        <w:t>)</w:t>
      </w:r>
      <w:r w:rsidRPr="00312389">
        <w:rPr>
          <w:rFonts w:ascii="Arial" w:hAnsi="Arial" w:cs="Arial"/>
        </w:rPr>
        <w:t xml:space="preserve">. </w:t>
      </w:r>
      <w:r w:rsidRPr="00C715BD">
        <w:rPr>
          <w:rFonts w:ascii="Arial" w:hAnsi="Arial" w:cs="Arial"/>
          <w:u w:val="single"/>
        </w:rPr>
        <w:t>Exploring Multi-Stakeholder Internet Governance</w:t>
      </w:r>
      <w:r w:rsidRPr="00312389">
        <w:rPr>
          <w:rFonts w:ascii="Arial" w:hAnsi="Arial" w:cs="Arial"/>
        </w:rPr>
        <w:t>. </w:t>
      </w:r>
      <w:r w:rsidRPr="00312389">
        <w:rPr>
          <w:rFonts w:ascii="Arial" w:hAnsi="Arial" w:cs="Arial"/>
          <w:i/>
          <w:iCs/>
        </w:rPr>
        <w:t xml:space="preserve">Brown University Bruce W. McConnell, </w:t>
      </w:r>
      <w:proofErr w:type="spellStart"/>
      <w:r w:rsidRPr="00312389">
        <w:rPr>
          <w:rFonts w:ascii="Arial" w:hAnsi="Arial" w:cs="Arial"/>
          <w:i/>
          <w:iCs/>
        </w:rPr>
        <w:t>EastWest</w:t>
      </w:r>
      <w:proofErr w:type="spellEnd"/>
      <w:r w:rsidRPr="00312389">
        <w:rPr>
          <w:rFonts w:ascii="Arial" w:hAnsi="Arial" w:cs="Arial"/>
          <w:i/>
          <w:iCs/>
        </w:rPr>
        <w:t xml:space="preserve"> Institute. https://www. </w:t>
      </w:r>
      <w:proofErr w:type="spellStart"/>
      <w:r w:rsidRPr="00312389">
        <w:rPr>
          <w:rFonts w:ascii="Arial" w:hAnsi="Arial" w:cs="Arial"/>
          <w:i/>
          <w:iCs/>
        </w:rPr>
        <w:t>eastwest</w:t>
      </w:r>
      <w:proofErr w:type="spellEnd"/>
      <w:r w:rsidRPr="00312389">
        <w:rPr>
          <w:rFonts w:ascii="Arial" w:hAnsi="Arial" w:cs="Arial"/>
          <w:i/>
          <w:iCs/>
        </w:rPr>
        <w:t xml:space="preserve">. </w:t>
      </w:r>
      <w:proofErr w:type="spellStart"/>
      <w:r w:rsidRPr="00312389">
        <w:rPr>
          <w:rFonts w:ascii="Arial" w:hAnsi="Arial" w:cs="Arial"/>
          <w:i/>
          <w:iCs/>
        </w:rPr>
        <w:t>ngo</w:t>
      </w:r>
      <w:proofErr w:type="spellEnd"/>
      <w:r w:rsidRPr="00312389">
        <w:rPr>
          <w:rFonts w:ascii="Arial" w:hAnsi="Arial" w:cs="Arial"/>
          <w:i/>
          <w:iCs/>
        </w:rPr>
        <w:t xml:space="preserve">/sites/default/files/Exploring% 20Multi-Stakeholder% 20Internet% 20Governance_0. </w:t>
      </w:r>
      <w:r w:rsidR="003D1764" w:rsidRPr="00312389">
        <w:rPr>
          <w:rFonts w:ascii="Arial" w:hAnsi="Arial" w:cs="Arial"/>
          <w:i/>
          <w:iCs/>
        </w:rPr>
        <w:t>P</w:t>
      </w:r>
      <w:r w:rsidRPr="00312389">
        <w:rPr>
          <w:rFonts w:ascii="Arial" w:hAnsi="Arial" w:cs="Arial"/>
          <w:i/>
          <w:iCs/>
        </w:rPr>
        <w:t>df</w:t>
      </w:r>
      <w:r w:rsidR="003D1764" w:rsidRPr="00312389">
        <w:rPr>
          <w:rFonts w:ascii="Arial" w:hAnsi="Arial" w:cs="Arial"/>
        </w:rPr>
        <w:t xml:space="preserve"> (Accessed: 17 </w:t>
      </w:r>
      <w:r w:rsidR="00E877DB">
        <w:rPr>
          <w:rFonts w:ascii="Arial" w:hAnsi="Arial" w:cs="Arial"/>
        </w:rPr>
        <w:t>November 2020</w:t>
      </w:r>
      <w:r w:rsidR="003D1764" w:rsidRPr="00312389">
        <w:rPr>
          <w:rFonts w:ascii="Arial" w:hAnsi="Arial" w:cs="Arial"/>
        </w:rPr>
        <w:t>)</w:t>
      </w:r>
      <w:r w:rsidR="000947AC" w:rsidRPr="00312389">
        <w:rPr>
          <w:rFonts w:ascii="Arial" w:hAnsi="Arial" w:cs="Arial"/>
        </w:rPr>
        <w:t>.</w:t>
      </w:r>
    </w:p>
    <w:p w14:paraId="42199687" w14:textId="3648B3B2" w:rsidR="000947AC" w:rsidRPr="00312389" w:rsidRDefault="000947AC" w:rsidP="00D40EBB">
      <w:pPr>
        <w:spacing w:line="480" w:lineRule="auto"/>
        <w:rPr>
          <w:rFonts w:ascii="Arial" w:hAnsi="Arial" w:cs="Arial"/>
        </w:rPr>
      </w:pPr>
      <w:proofErr w:type="spellStart"/>
      <w:r w:rsidRPr="00312389">
        <w:rPr>
          <w:rFonts w:ascii="Arial" w:hAnsi="Arial" w:cs="Arial"/>
        </w:rPr>
        <w:t>Scheepers</w:t>
      </w:r>
      <w:proofErr w:type="spellEnd"/>
      <w:r w:rsidRPr="00312389">
        <w:rPr>
          <w:rFonts w:ascii="Arial" w:hAnsi="Arial" w:cs="Arial"/>
        </w:rPr>
        <w:t xml:space="preserve">, R.A., </w:t>
      </w:r>
      <w:proofErr w:type="spellStart"/>
      <w:r w:rsidRPr="00312389">
        <w:rPr>
          <w:rFonts w:ascii="Arial" w:hAnsi="Arial" w:cs="Arial"/>
        </w:rPr>
        <w:t>Lombarts</w:t>
      </w:r>
      <w:proofErr w:type="spellEnd"/>
      <w:r w:rsidRPr="00312389">
        <w:rPr>
          <w:rFonts w:ascii="Arial" w:hAnsi="Arial" w:cs="Arial"/>
        </w:rPr>
        <w:t xml:space="preserve">, K.M., Van </w:t>
      </w:r>
      <w:proofErr w:type="spellStart"/>
      <w:r w:rsidRPr="00312389">
        <w:rPr>
          <w:rFonts w:ascii="Arial" w:hAnsi="Arial" w:cs="Arial"/>
        </w:rPr>
        <w:t>Aken</w:t>
      </w:r>
      <w:proofErr w:type="spellEnd"/>
      <w:r w:rsidRPr="00312389">
        <w:rPr>
          <w:rFonts w:ascii="Arial" w:hAnsi="Arial" w:cs="Arial"/>
        </w:rPr>
        <w:t xml:space="preserve">, M.A., </w:t>
      </w:r>
      <w:proofErr w:type="spellStart"/>
      <w:r w:rsidRPr="00312389">
        <w:rPr>
          <w:rFonts w:ascii="Arial" w:hAnsi="Arial" w:cs="Arial"/>
        </w:rPr>
        <w:t>Heineman</w:t>
      </w:r>
      <w:proofErr w:type="spellEnd"/>
      <w:r w:rsidRPr="00312389">
        <w:rPr>
          <w:rFonts w:ascii="Arial" w:hAnsi="Arial" w:cs="Arial"/>
        </w:rPr>
        <w:t xml:space="preserve">, M.J. and </w:t>
      </w:r>
      <w:proofErr w:type="spellStart"/>
      <w:r w:rsidRPr="00312389">
        <w:rPr>
          <w:rFonts w:ascii="Arial" w:hAnsi="Arial" w:cs="Arial"/>
        </w:rPr>
        <w:t>Arah</w:t>
      </w:r>
      <w:proofErr w:type="spellEnd"/>
      <w:r w:rsidRPr="00312389">
        <w:rPr>
          <w:rFonts w:ascii="Arial" w:hAnsi="Arial" w:cs="Arial"/>
        </w:rPr>
        <w:t xml:space="preserve">, O.A. (2014). </w:t>
      </w:r>
      <w:r w:rsidRPr="00C715BD">
        <w:rPr>
          <w:rFonts w:ascii="Arial" w:hAnsi="Arial" w:cs="Arial"/>
          <w:u w:val="single"/>
        </w:rPr>
        <w:t>Personality traits affect teaching performance of attending physicians: results of a multi-</w:t>
      </w:r>
      <w:proofErr w:type="spellStart"/>
      <w:r w:rsidRPr="00C715BD">
        <w:rPr>
          <w:rFonts w:ascii="Arial" w:hAnsi="Arial" w:cs="Arial"/>
          <w:u w:val="single"/>
        </w:rPr>
        <w:t>center</w:t>
      </w:r>
      <w:proofErr w:type="spellEnd"/>
      <w:r w:rsidRPr="00C715BD">
        <w:rPr>
          <w:rFonts w:ascii="Arial" w:hAnsi="Arial" w:cs="Arial"/>
          <w:u w:val="single"/>
        </w:rPr>
        <w:t xml:space="preserve"> observational study</w:t>
      </w:r>
      <w:r w:rsidRPr="00312389">
        <w:rPr>
          <w:rFonts w:ascii="Arial" w:hAnsi="Arial" w:cs="Arial"/>
        </w:rPr>
        <w:t xml:space="preserve">. </w:t>
      </w:r>
      <w:proofErr w:type="spellStart"/>
      <w:r w:rsidRPr="00312389">
        <w:rPr>
          <w:rFonts w:ascii="Arial" w:hAnsi="Arial" w:cs="Arial"/>
        </w:rPr>
        <w:t>PLoS</w:t>
      </w:r>
      <w:proofErr w:type="spellEnd"/>
      <w:r w:rsidRPr="00312389">
        <w:rPr>
          <w:rFonts w:ascii="Arial" w:hAnsi="Arial" w:cs="Arial"/>
        </w:rPr>
        <w:t xml:space="preserve"> One, 9(5), p.e98107.</w:t>
      </w:r>
    </w:p>
    <w:p w14:paraId="51AED289" w14:textId="77777777" w:rsidR="000947AC" w:rsidRPr="00312389" w:rsidRDefault="000947AC" w:rsidP="00D40EBB">
      <w:pPr>
        <w:spacing w:line="480" w:lineRule="auto"/>
        <w:rPr>
          <w:rFonts w:ascii="Arial" w:hAnsi="Arial" w:cs="Arial"/>
        </w:rPr>
      </w:pPr>
      <w:proofErr w:type="spellStart"/>
      <w:r w:rsidRPr="00312389">
        <w:rPr>
          <w:rFonts w:ascii="Arial" w:hAnsi="Arial" w:cs="Arial"/>
        </w:rPr>
        <w:t>Scoones</w:t>
      </w:r>
      <w:proofErr w:type="spellEnd"/>
      <w:r w:rsidRPr="00312389">
        <w:rPr>
          <w:rFonts w:ascii="Arial" w:hAnsi="Arial" w:cs="Arial"/>
        </w:rPr>
        <w:t xml:space="preserve">, I., Edelman, M., </w:t>
      </w:r>
      <w:proofErr w:type="spellStart"/>
      <w:r w:rsidRPr="00312389">
        <w:rPr>
          <w:rFonts w:ascii="Arial" w:hAnsi="Arial" w:cs="Arial"/>
        </w:rPr>
        <w:t>Borras</w:t>
      </w:r>
      <w:proofErr w:type="spellEnd"/>
      <w:r w:rsidRPr="00312389">
        <w:rPr>
          <w:rFonts w:ascii="Arial" w:hAnsi="Arial" w:cs="Arial"/>
        </w:rPr>
        <w:t xml:space="preserve"> Jr, S.M., Hall, R., Wolford, W. and White, B. (2018). </w:t>
      </w:r>
      <w:r w:rsidRPr="00C715BD">
        <w:rPr>
          <w:rFonts w:ascii="Arial" w:hAnsi="Arial" w:cs="Arial"/>
          <w:u w:val="single"/>
        </w:rPr>
        <w:t>Emancipatory rural politics: confronting authoritarian populism</w:t>
      </w:r>
      <w:r w:rsidRPr="00312389">
        <w:rPr>
          <w:rFonts w:ascii="Arial" w:hAnsi="Arial" w:cs="Arial"/>
        </w:rPr>
        <w:t>. </w:t>
      </w:r>
      <w:r w:rsidRPr="00312389">
        <w:rPr>
          <w:rFonts w:ascii="Arial" w:hAnsi="Arial" w:cs="Arial"/>
          <w:i/>
          <w:iCs/>
        </w:rPr>
        <w:t>The Journal of Peasant Studies</w:t>
      </w:r>
      <w:r w:rsidRPr="00312389">
        <w:rPr>
          <w:rFonts w:ascii="Arial" w:hAnsi="Arial" w:cs="Arial"/>
        </w:rPr>
        <w:t>, </w:t>
      </w:r>
      <w:r w:rsidRPr="00312389">
        <w:rPr>
          <w:rFonts w:ascii="Arial" w:hAnsi="Arial" w:cs="Arial"/>
          <w:i/>
          <w:iCs/>
        </w:rPr>
        <w:t>45</w:t>
      </w:r>
      <w:r w:rsidRPr="00312389">
        <w:rPr>
          <w:rFonts w:ascii="Arial" w:hAnsi="Arial" w:cs="Arial"/>
        </w:rPr>
        <w:t>(1), pp.1-20.</w:t>
      </w:r>
    </w:p>
    <w:p w14:paraId="6FED0FFF" w14:textId="56E14C13" w:rsidR="00160DB1" w:rsidRPr="00312389" w:rsidRDefault="00642D5B" w:rsidP="00D40EBB">
      <w:pPr>
        <w:spacing w:line="480" w:lineRule="auto"/>
        <w:rPr>
          <w:rFonts w:ascii="Arial" w:hAnsi="Arial" w:cs="Arial"/>
        </w:rPr>
      </w:pPr>
      <w:r w:rsidRPr="00312389">
        <w:rPr>
          <w:rFonts w:ascii="Arial" w:hAnsi="Arial" w:cs="Arial"/>
        </w:rPr>
        <w:lastRenderedPageBreak/>
        <w:t>Sender, H.</w:t>
      </w:r>
      <w:r w:rsidR="00160DB1" w:rsidRPr="00312389">
        <w:rPr>
          <w:rFonts w:ascii="Arial" w:hAnsi="Arial" w:cs="Arial"/>
        </w:rPr>
        <w:t xml:space="preserve"> (</w:t>
      </w:r>
      <w:r w:rsidRPr="00312389">
        <w:rPr>
          <w:rFonts w:ascii="Arial" w:hAnsi="Arial" w:cs="Arial"/>
        </w:rPr>
        <w:t>2016</w:t>
      </w:r>
      <w:r w:rsidR="00160DB1" w:rsidRPr="00312389">
        <w:rPr>
          <w:rFonts w:ascii="Arial" w:hAnsi="Arial" w:cs="Arial"/>
        </w:rPr>
        <w:t>)</w:t>
      </w:r>
      <w:r w:rsidRPr="00312389">
        <w:rPr>
          <w:rFonts w:ascii="Arial" w:hAnsi="Arial" w:cs="Arial"/>
        </w:rPr>
        <w:t xml:space="preserve">. </w:t>
      </w:r>
      <w:r w:rsidRPr="00C715BD">
        <w:rPr>
          <w:rFonts w:ascii="Arial" w:hAnsi="Arial" w:cs="Arial"/>
          <w:u w:val="single"/>
        </w:rPr>
        <w:t>US Defence: Losing its edge in technology?.</w:t>
      </w:r>
      <w:r w:rsidRPr="00312389">
        <w:rPr>
          <w:rFonts w:ascii="Arial" w:hAnsi="Arial" w:cs="Arial"/>
        </w:rPr>
        <w:t xml:space="preserve"> </w:t>
      </w:r>
      <w:r w:rsidRPr="00312389">
        <w:rPr>
          <w:rFonts w:ascii="Arial" w:hAnsi="Arial" w:cs="Arial"/>
          <w:i/>
          <w:iCs/>
        </w:rPr>
        <w:t>Financial Times</w:t>
      </w:r>
      <w:r w:rsidRPr="00312389">
        <w:rPr>
          <w:rFonts w:ascii="Arial" w:hAnsi="Arial" w:cs="Arial"/>
        </w:rPr>
        <w:t xml:space="preserve">. Available at: https://www.ft.com/content/a7203ec2-6ea4-11e6-9ac1-1055824ca907 (Accessed: 18 </w:t>
      </w:r>
      <w:r w:rsidR="00EC4AD6">
        <w:rPr>
          <w:rFonts w:ascii="Arial" w:hAnsi="Arial" w:cs="Arial"/>
        </w:rPr>
        <w:t>November</w:t>
      </w:r>
      <w:r w:rsidRPr="00312389">
        <w:rPr>
          <w:rFonts w:ascii="Arial" w:hAnsi="Arial" w:cs="Arial"/>
        </w:rPr>
        <w:t xml:space="preserve"> 20</w:t>
      </w:r>
      <w:r w:rsidR="00EC4AD6">
        <w:rPr>
          <w:rFonts w:ascii="Arial" w:hAnsi="Arial" w:cs="Arial"/>
        </w:rPr>
        <w:t>20</w:t>
      </w:r>
      <w:r w:rsidRPr="00312389">
        <w:rPr>
          <w:rFonts w:ascii="Arial" w:hAnsi="Arial" w:cs="Arial"/>
        </w:rPr>
        <w:t>).</w:t>
      </w:r>
    </w:p>
    <w:p w14:paraId="04BC73CD" w14:textId="77777777" w:rsidR="00160DB1" w:rsidRPr="00312389" w:rsidRDefault="00160DB1" w:rsidP="00D40EBB">
      <w:pPr>
        <w:spacing w:line="480" w:lineRule="auto"/>
        <w:rPr>
          <w:rFonts w:ascii="Arial" w:hAnsi="Arial" w:cs="Arial"/>
        </w:rPr>
      </w:pPr>
      <w:r w:rsidRPr="00312389">
        <w:rPr>
          <w:rFonts w:ascii="Arial" w:hAnsi="Arial" w:cs="Arial"/>
        </w:rPr>
        <w:t xml:space="preserve">Shackelford, S.J. (2012). </w:t>
      </w:r>
      <w:r w:rsidRPr="00C715BD">
        <w:rPr>
          <w:rFonts w:ascii="Arial" w:hAnsi="Arial" w:cs="Arial"/>
          <w:u w:val="single"/>
        </w:rPr>
        <w:t>Should your firm invest in cyber risk insurance?.</w:t>
      </w:r>
      <w:r w:rsidRPr="00312389">
        <w:rPr>
          <w:rFonts w:ascii="Arial" w:hAnsi="Arial" w:cs="Arial"/>
        </w:rPr>
        <w:t xml:space="preserve"> ​</w:t>
      </w:r>
      <w:r w:rsidRPr="00312389">
        <w:rPr>
          <w:rFonts w:ascii="Arial" w:hAnsi="Arial" w:cs="Arial"/>
          <w:i/>
        </w:rPr>
        <w:t>Business Horizons</w:t>
      </w:r>
      <w:r w:rsidRPr="00312389">
        <w:rPr>
          <w:rFonts w:ascii="Arial" w:hAnsi="Arial" w:cs="Arial"/>
        </w:rPr>
        <w:t xml:space="preserve">​, </w:t>
      </w:r>
      <w:r w:rsidRPr="00312389">
        <w:rPr>
          <w:rFonts w:ascii="Arial" w:hAnsi="Arial" w:cs="Arial"/>
          <w:i/>
        </w:rPr>
        <w:t>55</w:t>
      </w:r>
      <w:r w:rsidRPr="00312389">
        <w:rPr>
          <w:rFonts w:ascii="Arial" w:hAnsi="Arial" w:cs="Arial"/>
        </w:rPr>
        <w:t>​ ​(4), pp.349-356.</w:t>
      </w:r>
    </w:p>
    <w:p w14:paraId="1D5B6981" w14:textId="6EA24B54" w:rsidR="00160DB1" w:rsidRPr="00312389" w:rsidRDefault="00160DB1" w:rsidP="00D40EBB">
      <w:pPr>
        <w:spacing w:line="480" w:lineRule="auto"/>
        <w:rPr>
          <w:rFonts w:ascii="Arial" w:hAnsi="Arial" w:cs="Arial"/>
        </w:rPr>
      </w:pPr>
      <w:proofErr w:type="spellStart"/>
      <w:r w:rsidRPr="00312389">
        <w:rPr>
          <w:rFonts w:ascii="Arial" w:hAnsi="Arial" w:cs="Arial"/>
        </w:rPr>
        <w:t>Shirazi</w:t>
      </w:r>
      <w:proofErr w:type="spellEnd"/>
      <w:r w:rsidRPr="00312389">
        <w:rPr>
          <w:rFonts w:ascii="Arial" w:hAnsi="Arial" w:cs="Arial"/>
        </w:rPr>
        <w:t xml:space="preserve">, S.N., </w:t>
      </w:r>
      <w:proofErr w:type="spellStart"/>
      <w:r w:rsidRPr="00312389">
        <w:rPr>
          <w:rFonts w:ascii="Arial" w:hAnsi="Arial" w:cs="Arial"/>
        </w:rPr>
        <w:t>Gouglidis</w:t>
      </w:r>
      <w:proofErr w:type="spellEnd"/>
      <w:r w:rsidRPr="00312389">
        <w:rPr>
          <w:rFonts w:ascii="Arial" w:hAnsi="Arial" w:cs="Arial"/>
        </w:rPr>
        <w:t xml:space="preserve">, A., </w:t>
      </w:r>
      <w:proofErr w:type="spellStart"/>
      <w:r w:rsidRPr="00312389">
        <w:rPr>
          <w:rFonts w:ascii="Arial" w:hAnsi="Arial" w:cs="Arial"/>
        </w:rPr>
        <w:t>Farshad</w:t>
      </w:r>
      <w:proofErr w:type="spellEnd"/>
      <w:r w:rsidRPr="00312389">
        <w:rPr>
          <w:rFonts w:ascii="Arial" w:hAnsi="Arial" w:cs="Arial"/>
        </w:rPr>
        <w:t xml:space="preserve">, A. and Hutchison, D. (2017). </w:t>
      </w:r>
      <w:r w:rsidRPr="009916FE">
        <w:rPr>
          <w:rFonts w:ascii="Arial" w:hAnsi="Arial" w:cs="Arial"/>
          <w:u w:val="single"/>
        </w:rPr>
        <w:t>The extended cloud: Review and analysis of mobile edge computing and fog from a security and resilience perspective</w:t>
      </w:r>
      <w:r w:rsidRPr="00312389">
        <w:rPr>
          <w:rFonts w:ascii="Arial" w:hAnsi="Arial" w:cs="Arial"/>
        </w:rPr>
        <w:t xml:space="preserve">. </w:t>
      </w:r>
      <w:r w:rsidRPr="00312389">
        <w:rPr>
          <w:rFonts w:ascii="Arial" w:hAnsi="Arial" w:cs="Arial"/>
          <w:i/>
        </w:rPr>
        <w:t>IEEE Journal on Selected Areas in</w:t>
      </w:r>
      <w:r w:rsidRPr="00312389">
        <w:rPr>
          <w:rFonts w:ascii="Arial" w:hAnsi="Arial" w:cs="Arial"/>
        </w:rPr>
        <w:t>​</w:t>
      </w:r>
      <w:r w:rsidRPr="00312389">
        <w:rPr>
          <w:rFonts w:ascii="Arial" w:hAnsi="Arial" w:cs="Arial"/>
          <w:i/>
        </w:rPr>
        <w:t xml:space="preserve"> Communications</w:t>
      </w:r>
      <w:r w:rsidRPr="00312389">
        <w:rPr>
          <w:rFonts w:ascii="Arial" w:hAnsi="Arial" w:cs="Arial"/>
        </w:rPr>
        <w:t>​, ​</w:t>
      </w:r>
      <w:r w:rsidRPr="00312389">
        <w:rPr>
          <w:rFonts w:ascii="Arial" w:hAnsi="Arial" w:cs="Arial"/>
          <w:i/>
        </w:rPr>
        <w:t>35</w:t>
      </w:r>
      <w:r w:rsidRPr="00312389">
        <w:rPr>
          <w:rFonts w:ascii="Arial" w:hAnsi="Arial" w:cs="Arial"/>
        </w:rPr>
        <w:t>​(11), pp.2586-2595.</w:t>
      </w:r>
    </w:p>
    <w:p w14:paraId="35F71DE4" w14:textId="4D65EAAF" w:rsidR="005F1979" w:rsidRPr="00312389" w:rsidRDefault="005F1979" w:rsidP="00D40EBB">
      <w:pPr>
        <w:spacing w:line="480" w:lineRule="auto"/>
        <w:rPr>
          <w:rFonts w:ascii="Arial" w:hAnsi="Arial" w:cs="Arial"/>
        </w:rPr>
      </w:pPr>
      <w:r w:rsidRPr="00312389">
        <w:rPr>
          <w:rFonts w:ascii="Arial" w:hAnsi="Arial" w:cs="Arial"/>
        </w:rPr>
        <w:t>Siebert, S. ed. (2017). </w:t>
      </w:r>
      <w:r w:rsidRPr="00CA4DE7">
        <w:rPr>
          <w:rFonts w:ascii="Arial" w:hAnsi="Arial" w:cs="Arial"/>
          <w:u w:val="single"/>
        </w:rPr>
        <w:t>Management Research: European Perspectives</w:t>
      </w:r>
      <w:r w:rsidRPr="00312389">
        <w:rPr>
          <w:rFonts w:ascii="Arial" w:hAnsi="Arial" w:cs="Arial"/>
        </w:rPr>
        <w:t>. Oxon: Routledge.</w:t>
      </w:r>
    </w:p>
    <w:p w14:paraId="66DAE6C1" w14:textId="77777777" w:rsidR="00B02B7A" w:rsidRPr="00312389" w:rsidRDefault="00642D5B" w:rsidP="00D40EBB">
      <w:pPr>
        <w:spacing w:line="480" w:lineRule="auto"/>
        <w:rPr>
          <w:rFonts w:ascii="Arial" w:hAnsi="Arial" w:cs="Arial"/>
        </w:rPr>
      </w:pPr>
      <w:r w:rsidRPr="00312389">
        <w:rPr>
          <w:rFonts w:ascii="Arial" w:hAnsi="Arial" w:cs="Arial"/>
        </w:rPr>
        <w:t>Silva, D., da Silva, M.M. and Pereira, R.</w:t>
      </w:r>
      <w:r w:rsidR="00B176DB" w:rsidRPr="00312389">
        <w:rPr>
          <w:rFonts w:ascii="Arial" w:hAnsi="Arial" w:cs="Arial"/>
        </w:rPr>
        <w:t xml:space="preserve"> (</w:t>
      </w:r>
      <w:r w:rsidRPr="00312389">
        <w:rPr>
          <w:rFonts w:ascii="Arial" w:hAnsi="Arial" w:cs="Arial"/>
        </w:rPr>
        <w:t>2018</w:t>
      </w:r>
      <w:r w:rsidR="00B176DB" w:rsidRPr="00312389">
        <w:rPr>
          <w:rFonts w:ascii="Arial" w:hAnsi="Arial" w:cs="Arial"/>
        </w:rPr>
        <w:t>)</w:t>
      </w:r>
      <w:r w:rsidRPr="00312389">
        <w:rPr>
          <w:rFonts w:ascii="Arial" w:hAnsi="Arial" w:cs="Arial"/>
        </w:rPr>
        <w:t xml:space="preserve">, July. </w:t>
      </w:r>
      <w:r w:rsidRPr="009916FE">
        <w:rPr>
          <w:rFonts w:ascii="Arial" w:hAnsi="Arial" w:cs="Arial"/>
          <w:u w:val="single"/>
        </w:rPr>
        <w:t>Baseline Mechanisms for Enterprise Governance of IT in SMEs.</w:t>
      </w:r>
      <w:r w:rsidRPr="00312389">
        <w:rPr>
          <w:rFonts w:ascii="Arial" w:hAnsi="Arial" w:cs="Arial"/>
        </w:rPr>
        <w:t xml:space="preserve"> In </w:t>
      </w:r>
      <w:r w:rsidRPr="00312389">
        <w:rPr>
          <w:rFonts w:ascii="Arial" w:hAnsi="Arial" w:cs="Arial"/>
          <w:i/>
          <w:iCs/>
        </w:rPr>
        <w:t>2018 IEEE 20th Conference on Business Informatics (CBI)</w:t>
      </w:r>
      <w:r w:rsidRPr="00312389">
        <w:rPr>
          <w:rFonts w:ascii="Arial" w:hAnsi="Arial" w:cs="Arial"/>
        </w:rPr>
        <w:t>(Vol. 2, pp. 32-41). IEEE.</w:t>
      </w:r>
    </w:p>
    <w:p w14:paraId="6A17352B" w14:textId="6FD2FDF3" w:rsidR="00B02B7A" w:rsidRPr="00312389" w:rsidRDefault="00B02B7A" w:rsidP="00D40EBB">
      <w:pPr>
        <w:spacing w:line="480" w:lineRule="auto"/>
        <w:rPr>
          <w:rFonts w:ascii="Arial" w:hAnsi="Arial" w:cs="Arial"/>
        </w:rPr>
      </w:pPr>
      <w:r w:rsidRPr="00312389">
        <w:rPr>
          <w:rFonts w:ascii="Arial" w:hAnsi="Arial" w:cs="Arial"/>
        </w:rPr>
        <w:t>Silverman, D. ed. (2016). </w:t>
      </w:r>
      <w:r w:rsidRPr="00CA4DE7">
        <w:rPr>
          <w:rFonts w:ascii="Arial" w:hAnsi="Arial" w:cs="Arial"/>
          <w:u w:val="single"/>
        </w:rPr>
        <w:t>Qualitative research</w:t>
      </w:r>
      <w:r w:rsidRPr="00312389">
        <w:rPr>
          <w:rFonts w:ascii="Arial" w:hAnsi="Arial" w:cs="Arial"/>
        </w:rPr>
        <w:t>. London: Sage.</w:t>
      </w:r>
    </w:p>
    <w:p w14:paraId="403D3981" w14:textId="27C5024C" w:rsidR="00160DB1" w:rsidRPr="00312389" w:rsidRDefault="00160DB1" w:rsidP="00D40EBB">
      <w:pPr>
        <w:spacing w:line="480" w:lineRule="auto"/>
        <w:rPr>
          <w:rFonts w:ascii="Arial" w:hAnsi="Arial" w:cs="Arial"/>
        </w:rPr>
      </w:pPr>
      <w:r w:rsidRPr="00312389">
        <w:rPr>
          <w:rFonts w:ascii="Arial" w:hAnsi="Arial" w:cs="Arial"/>
        </w:rPr>
        <w:t xml:space="preserve">Singh, H. and Montgomery, C.A. (1987). </w:t>
      </w:r>
      <w:r w:rsidRPr="009916FE">
        <w:rPr>
          <w:rFonts w:ascii="Arial" w:hAnsi="Arial" w:cs="Arial"/>
          <w:u w:val="single"/>
        </w:rPr>
        <w:t>Corporate acquisition strategies and economic performance</w:t>
      </w:r>
      <w:r w:rsidRPr="00312389">
        <w:rPr>
          <w:rFonts w:ascii="Arial" w:hAnsi="Arial" w:cs="Arial"/>
        </w:rPr>
        <w:t>. ​</w:t>
      </w:r>
      <w:r w:rsidRPr="00312389">
        <w:rPr>
          <w:rFonts w:ascii="Arial" w:hAnsi="Arial" w:cs="Arial"/>
          <w:i/>
        </w:rPr>
        <w:t>Strategic Management Journal</w:t>
      </w:r>
      <w:r w:rsidRPr="00312389">
        <w:rPr>
          <w:rFonts w:ascii="Arial" w:hAnsi="Arial" w:cs="Arial"/>
        </w:rPr>
        <w:t>​, ​</w:t>
      </w:r>
      <w:r w:rsidRPr="00312389">
        <w:rPr>
          <w:rFonts w:ascii="Arial" w:hAnsi="Arial" w:cs="Arial"/>
          <w:i/>
        </w:rPr>
        <w:t>8</w:t>
      </w:r>
      <w:r w:rsidRPr="00312389">
        <w:rPr>
          <w:rFonts w:ascii="Arial" w:hAnsi="Arial" w:cs="Arial"/>
        </w:rPr>
        <w:t>​(4), pp.377-386.</w:t>
      </w:r>
    </w:p>
    <w:p w14:paraId="7DF5FB7B" w14:textId="77777777" w:rsidR="00B02B7A" w:rsidRPr="00312389" w:rsidRDefault="00B02B7A" w:rsidP="00D40EBB">
      <w:pPr>
        <w:spacing w:line="480" w:lineRule="auto"/>
        <w:rPr>
          <w:rFonts w:ascii="Arial" w:hAnsi="Arial" w:cs="Arial"/>
        </w:rPr>
      </w:pPr>
      <w:r w:rsidRPr="00312389">
        <w:rPr>
          <w:rFonts w:ascii="Arial" w:hAnsi="Arial" w:cs="Arial"/>
        </w:rPr>
        <w:t xml:space="preserve">Song, M., Pan, X., Pan, X. and Jiao, Z. (2018). </w:t>
      </w:r>
      <w:r w:rsidRPr="009916FE">
        <w:rPr>
          <w:rFonts w:ascii="Arial" w:hAnsi="Arial" w:cs="Arial"/>
          <w:u w:val="single"/>
        </w:rPr>
        <w:t>Influence of basic research investment on corporate performance: Exploring the moderating effect of human capital structure</w:t>
      </w:r>
      <w:r w:rsidRPr="00312389">
        <w:rPr>
          <w:rFonts w:ascii="Arial" w:hAnsi="Arial" w:cs="Arial"/>
        </w:rPr>
        <w:t>. Management Decision.</w:t>
      </w:r>
    </w:p>
    <w:p w14:paraId="2D0A963F" w14:textId="77777777" w:rsidR="00160DB1" w:rsidRPr="00312389" w:rsidRDefault="00160DB1" w:rsidP="00D40EBB">
      <w:pPr>
        <w:spacing w:line="480" w:lineRule="auto"/>
        <w:rPr>
          <w:rFonts w:ascii="Arial" w:hAnsi="Arial" w:cs="Arial"/>
        </w:rPr>
      </w:pPr>
      <w:proofErr w:type="spellStart"/>
      <w:r w:rsidRPr="00312389">
        <w:rPr>
          <w:rFonts w:ascii="Arial" w:hAnsi="Arial" w:cs="Arial"/>
        </w:rPr>
        <w:lastRenderedPageBreak/>
        <w:t>Ştefănescu</w:t>
      </w:r>
      <w:proofErr w:type="spellEnd"/>
      <w:r w:rsidRPr="00312389">
        <w:rPr>
          <w:rFonts w:ascii="Arial" w:hAnsi="Arial" w:cs="Arial"/>
        </w:rPr>
        <w:t xml:space="preserve">, M.V. (2015). </w:t>
      </w:r>
      <w:r w:rsidRPr="006D4516">
        <w:rPr>
          <w:rFonts w:ascii="Arial" w:hAnsi="Arial" w:cs="Arial"/>
          <w:u w:val="single"/>
        </w:rPr>
        <w:t xml:space="preserve">The information technology role in the dynamics and evolution of SMEs in </w:t>
      </w:r>
      <w:proofErr w:type="spellStart"/>
      <w:r w:rsidRPr="006D4516">
        <w:rPr>
          <w:rFonts w:ascii="Arial" w:hAnsi="Arial" w:cs="Arial"/>
          <w:u w:val="single"/>
        </w:rPr>
        <w:t>Timis</w:t>
      </w:r>
      <w:proofErr w:type="spellEnd"/>
      <w:r w:rsidRPr="006D4516">
        <w:rPr>
          <w:rFonts w:ascii="Arial" w:hAnsi="Arial" w:cs="Arial"/>
          <w:u w:val="single"/>
        </w:rPr>
        <w:t xml:space="preserve"> County</w:t>
      </w:r>
      <w:r w:rsidRPr="00312389">
        <w:rPr>
          <w:rFonts w:ascii="Arial" w:hAnsi="Arial" w:cs="Arial"/>
        </w:rPr>
        <w:t>, Romania. ​</w:t>
      </w:r>
      <w:r w:rsidRPr="00312389">
        <w:rPr>
          <w:rFonts w:ascii="Arial" w:hAnsi="Arial" w:cs="Arial"/>
          <w:i/>
        </w:rPr>
        <w:t>Procedia Economics and Finance</w:t>
      </w:r>
      <w:r w:rsidRPr="00312389">
        <w:rPr>
          <w:rFonts w:ascii="Arial" w:hAnsi="Arial" w:cs="Arial"/>
        </w:rPr>
        <w:t>​, ​</w:t>
      </w:r>
      <w:r w:rsidRPr="00312389">
        <w:rPr>
          <w:rFonts w:ascii="Arial" w:hAnsi="Arial" w:cs="Arial"/>
          <w:i/>
        </w:rPr>
        <w:t>32</w:t>
      </w:r>
      <w:r w:rsidRPr="00312389">
        <w:rPr>
          <w:rFonts w:ascii="Arial" w:hAnsi="Arial" w:cs="Arial"/>
        </w:rPr>
        <w:t>​, pp.1107-1113.</w:t>
      </w:r>
    </w:p>
    <w:p w14:paraId="30010BC7" w14:textId="77777777" w:rsidR="00461BC3" w:rsidRPr="00312389" w:rsidRDefault="00160DB1" w:rsidP="00D40EBB">
      <w:pPr>
        <w:spacing w:line="480" w:lineRule="auto"/>
        <w:rPr>
          <w:rFonts w:ascii="Arial" w:hAnsi="Arial" w:cs="Arial"/>
        </w:rPr>
      </w:pPr>
      <w:r w:rsidRPr="00312389">
        <w:rPr>
          <w:rFonts w:ascii="Arial" w:hAnsi="Arial" w:cs="Arial"/>
        </w:rPr>
        <w:t>Sutton, D. (2017). ​</w:t>
      </w:r>
      <w:r w:rsidRPr="00CA4DE7">
        <w:rPr>
          <w:rFonts w:ascii="Arial" w:hAnsi="Arial" w:cs="Arial"/>
          <w:iCs/>
          <w:u w:val="single"/>
        </w:rPr>
        <w:t>Cyber Security: A Practitioner's Guide</w:t>
      </w:r>
      <w:r w:rsidRPr="00CA4DE7">
        <w:rPr>
          <w:rFonts w:ascii="Arial" w:hAnsi="Arial" w:cs="Arial"/>
          <w:iCs/>
        </w:rPr>
        <w:t>​</w:t>
      </w:r>
      <w:r w:rsidRPr="00312389">
        <w:rPr>
          <w:rFonts w:ascii="Arial" w:hAnsi="Arial" w:cs="Arial"/>
        </w:rPr>
        <w:t>. Swindon: BCS Learning &amp; Development Limited.</w:t>
      </w:r>
    </w:p>
    <w:p w14:paraId="2714B45B" w14:textId="77777777" w:rsidR="00461BC3" w:rsidRPr="00312389" w:rsidRDefault="00461BC3" w:rsidP="00D40EBB">
      <w:pPr>
        <w:spacing w:line="480" w:lineRule="auto"/>
        <w:rPr>
          <w:rFonts w:ascii="Arial" w:hAnsi="Arial" w:cs="Arial"/>
        </w:rPr>
      </w:pPr>
      <w:r w:rsidRPr="00312389">
        <w:rPr>
          <w:rFonts w:ascii="Arial" w:hAnsi="Arial" w:cs="Arial"/>
        </w:rPr>
        <w:t xml:space="preserve">Tan, W.G., Cater-Steel, A. and </w:t>
      </w:r>
      <w:proofErr w:type="spellStart"/>
      <w:r w:rsidRPr="00312389">
        <w:rPr>
          <w:rFonts w:ascii="Arial" w:hAnsi="Arial" w:cs="Arial"/>
        </w:rPr>
        <w:t>Toleman</w:t>
      </w:r>
      <w:proofErr w:type="spellEnd"/>
      <w:r w:rsidRPr="00312389">
        <w:rPr>
          <w:rFonts w:ascii="Arial" w:hAnsi="Arial" w:cs="Arial"/>
        </w:rPr>
        <w:t xml:space="preserve">, M. (2009). </w:t>
      </w:r>
      <w:r w:rsidRPr="006D4516">
        <w:rPr>
          <w:rFonts w:ascii="Arial" w:hAnsi="Arial" w:cs="Arial"/>
          <w:u w:val="single"/>
        </w:rPr>
        <w:t>Implementing IT service management: a case study focussing on critical success factors</w:t>
      </w:r>
      <w:r w:rsidRPr="00312389">
        <w:rPr>
          <w:rFonts w:ascii="Arial" w:hAnsi="Arial" w:cs="Arial"/>
        </w:rPr>
        <w:t>. ​</w:t>
      </w:r>
      <w:r w:rsidRPr="00312389">
        <w:rPr>
          <w:rFonts w:ascii="Arial" w:hAnsi="Arial" w:cs="Arial"/>
          <w:i/>
        </w:rPr>
        <w:t>Journal of Computer Information Systems</w:t>
      </w:r>
      <w:r w:rsidRPr="00312389">
        <w:rPr>
          <w:rFonts w:ascii="Arial" w:hAnsi="Arial" w:cs="Arial"/>
        </w:rPr>
        <w:t>​, ​</w:t>
      </w:r>
      <w:r w:rsidRPr="00312389">
        <w:rPr>
          <w:rFonts w:ascii="Arial" w:hAnsi="Arial" w:cs="Arial"/>
          <w:i/>
        </w:rPr>
        <w:t>50</w:t>
      </w:r>
      <w:r w:rsidRPr="00312389">
        <w:rPr>
          <w:rFonts w:ascii="Arial" w:hAnsi="Arial" w:cs="Arial"/>
        </w:rPr>
        <w:t>​(2), pp.1-12.</w:t>
      </w:r>
    </w:p>
    <w:p w14:paraId="4E1603FE" w14:textId="77777777" w:rsidR="00B02B7A" w:rsidRPr="00312389" w:rsidRDefault="00B02B7A" w:rsidP="00D40EBB">
      <w:pPr>
        <w:spacing w:line="480" w:lineRule="auto"/>
        <w:rPr>
          <w:rFonts w:ascii="Arial" w:hAnsi="Arial" w:cs="Arial"/>
        </w:rPr>
      </w:pPr>
      <w:r w:rsidRPr="00312389">
        <w:rPr>
          <w:rFonts w:ascii="Arial" w:hAnsi="Arial" w:cs="Arial"/>
        </w:rPr>
        <w:t xml:space="preserve">Thompson, K. and </w:t>
      </w:r>
      <w:proofErr w:type="spellStart"/>
      <w:r w:rsidRPr="00312389">
        <w:rPr>
          <w:rFonts w:ascii="Arial" w:hAnsi="Arial" w:cs="Arial"/>
        </w:rPr>
        <w:t>Nesci</w:t>
      </w:r>
      <w:proofErr w:type="spellEnd"/>
      <w:r w:rsidRPr="00312389">
        <w:rPr>
          <w:rFonts w:ascii="Arial" w:hAnsi="Arial" w:cs="Arial"/>
        </w:rPr>
        <w:t xml:space="preserve">, C. (2016). </w:t>
      </w:r>
      <w:r w:rsidRPr="00667BC7">
        <w:rPr>
          <w:rFonts w:ascii="Arial" w:hAnsi="Arial" w:cs="Arial"/>
          <w:u w:val="single"/>
        </w:rPr>
        <w:t>Over-riding concerns: Developing safe relations in the high-risk interspecies sport of eventing</w:t>
      </w:r>
      <w:r w:rsidRPr="00312389">
        <w:rPr>
          <w:rFonts w:ascii="Arial" w:hAnsi="Arial" w:cs="Arial"/>
        </w:rPr>
        <w:t>. </w:t>
      </w:r>
      <w:r w:rsidRPr="00312389">
        <w:rPr>
          <w:rFonts w:ascii="Arial" w:hAnsi="Arial" w:cs="Arial"/>
          <w:i/>
          <w:iCs/>
        </w:rPr>
        <w:t>International review for the sociology of sport</w:t>
      </w:r>
      <w:r w:rsidRPr="00312389">
        <w:rPr>
          <w:rFonts w:ascii="Arial" w:hAnsi="Arial" w:cs="Arial"/>
        </w:rPr>
        <w:t>, </w:t>
      </w:r>
      <w:r w:rsidRPr="00312389">
        <w:rPr>
          <w:rFonts w:ascii="Arial" w:hAnsi="Arial" w:cs="Arial"/>
          <w:i/>
          <w:iCs/>
        </w:rPr>
        <w:t>51</w:t>
      </w:r>
      <w:r w:rsidRPr="00312389">
        <w:rPr>
          <w:rFonts w:ascii="Arial" w:hAnsi="Arial" w:cs="Arial"/>
        </w:rPr>
        <w:t>(1), pp.97-113.</w:t>
      </w:r>
    </w:p>
    <w:p w14:paraId="04B550DA" w14:textId="77777777" w:rsidR="00461BC3" w:rsidRPr="00312389" w:rsidRDefault="00461BC3" w:rsidP="00D40EBB">
      <w:pPr>
        <w:spacing w:line="480" w:lineRule="auto"/>
        <w:rPr>
          <w:rFonts w:ascii="Arial" w:hAnsi="Arial" w:cs="Arial"/>
        </w:rPr>
      </w:pPr>
      <w:proofErr w:type="spellStart"/>
      <w:r w:rsidRPr="00312389">
        <w:rPr>
          <w:rFonts w:ascii="Arial" w:hAnsi="Arial" w:cs="Arial"/>
        </w:rPr>
        <w:t>Tiirmaa-Klaar</w:t>
      </w:r>
      <w:proofErr w:type="spellEnd"/>
      <w:r w:rsidRPr="00312389">
        <w:rPr>
          <w:rFonts w:ascii="Arial" w:hAnsi="Arial" w:cs="Arial"/>
        </w:rPr>
        <w:t xml:space="preserve">, H., (2016). </w:t>
      </w:r>
      <w:r w:rsidRPr="00667BC7">
        <w:rPr>
          <w:rFonts w:ascii="Arial" w:hAnsi="Arial" w:cs="Arial"/>
          <w:u w:val="single"/>
        </w:rPr>
        <w:t>Building national cyber resilience and protecting critical information infrastructure</w:t>
      </w:r>
      <w:r w:rsidRPr="00312389">
        <w:rPr>
          <w:rFonts w:ascii="Arial" w:hAnsi="Arial" w:cs="Arial"/>
        </w:rPr>
        <w:t>. ​</w:t>
      </w:r>
      <w:r w:rsidRPr="00312389">
        <w:rPr>
          <w:rFonts w:ascii="Arial" w:hAnsi="Arial" w:cs="Arial"/>
          <w:i/>
        </w:rPr>
        <w:t>Journal of Cyber Policy</w:t>
      </w:r>
      <w:r w:rsidRPr="00312389">
        <w:rPr>
          <w:rFonts w:ascii="Arial" w:hAnsi="Arial" w:cs="Arial"/>
        </w:rPr>
        <w:t>​, ​</w:t>
      </w:r>
      <w:r w:rsidRPr="00312389">
        <w:rPr>
          <w:rFonts w:ascii="Arial" w:hAnsi="Arial" w:cs="Arial"/>
          <w:i/>
        </w:rPr>
        <w:t>1</w:t>
      </w:r>
      <w:r w:rsidRPr="00312389">
        <w:rPr>
          <w:rFonts w:ascii="Arial" w:hAnsi="Arial" w:cs="Arial"/>
        </w:rPr>
        <w:t xml:space="preserve">​(1), pp.94-106. </w:t>
      </w:r>
    </w:p>
    <w:p w14:paraId="242901BB" w14:textId="3C66A2FC" w:rsidR="00642D5B" w:rsidRPr="00312389" w:rsidRDefault="00642D5B" w:rsidP="00D40EBB">
      <w:pPr>
        <w:spacing w:line="480" w:lineRule="auto"/>
        <w:rPr>
          <w:rFonts w:ascii="Arial" w:hAnsi="Arial" w:cs="Arial"/>
        </w:rPr>
      </w:pPr>
      <w:proofErr w:type="spellStart"/>
      <w:r w:rsidRPr="00312389">
        <w:rPr>
          <w:rFonts w:ascii="Arial" w:hAnsi="Arial" w:cs="Arial"/>
        </w:rPr>
        <w:t>Timmers</w:t>
      </w:r>
      <w:proofErr w:type="spellEnd"/>
      <w:r w:rsidRPr="00312389">
        <w:rPr>
          <w:rFonts w:ascii="Arial" w:hAnsi="Arial" w:cs="Arial"/>
        </w:rPr>
        <w:t>, P.</w:t>
      </w:r>
      <w:r w:rsidR="00B176DB" w:rsidRPr="00312389">
        <w:rPr>
          <w:rFonts w:ascii="Arial" w:hAnsi="Arial" w:cs="Arial"/>
        </w:rPr>
        <w:t xml:space="preserve"> (</w:t>
      </w:r>
      <w:r w:rsidRPr="00312389">
        <w:rPr>
          <w:rFonts w:ascii="Arial" w:hAnsi="Arial" w:cs="Arial"/>
        </w:rPr>
        <w:t>2018</w:t>
      </w:r>
      <w:r w:rsidR="00B176DB" w:rsidRPr="00312389">
        <w:rPr>
          <w:rFonts w:ascii="Arial" w:hAnsi="Arial" w:cs="Arial"/>
        </w:rPr>
        <w:t>)</w:t>
      </w:r>
      <w:r w:rsidRPr="00312389">
        <w:rPr>
          <w:rFonts w:ascii="Arial" w:hAnsi="Arial" w:cs="Arial"/>
        </w:rPr>
        <w:t xml:space="preserve">. </w:t>
      </w:r>
      <w:r w:rsidRPr="00996D9A">
        <w:rPr>
          <w:rFonts w:ascii="Arial" w:hAnsi="Arial" w:cs="Arial"/>
          <w:u w:val="single"/>
        </w:rPr>
        <w:t>The European Union’s cybersecurity industrial policy</w:t>
      </w:r>
      <w:r w:rsidRPr="00312389">
        <w:rPr>
          <w:rFonts w:ascii="Arial" w:hAnsi="Arial" w:cs="Arial"/>
        </w:rPr>
        <w:t>. </w:t>
      </w:r>
      <w:r w:rsidRPr="00312389">
        <w:rPr>
          <w:rFonts w:ascii="Arial" w:hAnsi="Arial" w:cs="Arial"/>
          <w:i/>
          <w:iCs/>
        </w:rPr>
        <w:t>Journal of Cyber Policy</w:t>
      </w:r>
      <w:r w:rsidRPr="00312389">
        <w:rPr>
          <w:rFonts w:ascii="Arial" w:hAnsi="Arial" w:cs="Arial"/>
        </w:rPr>
        <w:t>, </w:t>
      </w:r>
      <w:r w:rsidRPr="00312389">
        <w:rPr>
          <w:rFonts w:ascii="Arial" w:hAnsi="Arial" w:cs="Arial"/>
          <w:i/>
          <w:iCs/>
        </w:rPr>
        <w:t>3</w:t>
      </w:r>
      <w:r w:rsidRPr="00312389">
        <w:rPr>
          <w:rFonts w:ascii="Arial" w:hAnsi="Arial" w:cs="Arial"/>
        </w:rPr>
        <w:t>(3), pp.363-384.</w:t>
      </w:r>
    </w:p>
    <w:p w14:paraId="54342FBC" w14:textId="677EE4B1" w:rsidR="00642D5B" w:rsidRPr="00312389" w:rsidRDefault="00642D5B" w:rsidP="00D40EBB">
      <w:pPr>
        <w:spacing w:line="480" w:lineRule="auto"/>
        <w:rPr>
          <w:rFonts w:ascii="Arial" w:hAnsi="Arial" w:cs="Arial"/>
        </w:rPr>
      </w:pPr>
      <w:r w:rsidRPr="00312389">
        <w:rPr>
          <w:rFonts w:ascii="Arial" w:hAnsi="Arial" w:cs="Arial"/>
        </w:rPr>
        <w:t xml:space="preserve">Van </w:t>
      </w:r>
      <w:proofErr w:type="spellStart"/>
      <w:r w:rsidRPr="00312389">
        <w:rPr>
          <w:rFonts w:ascii="Arial" w:hAnsi="Arial" w:cs="Arial"/>
        </w:rPr>
        <w:t>Grembergen</w:t>
      </w:r>
      <w:proofErr w:type="spellEnd"/>
      <w:r w:rsidRPr="00312389">
        <w:rPr>
          <w:rFonts w:ascii="Arial" w:hAnsi="Arial" w:cs="Arial"/>
        </w:rPr>
        <w:t xml:space="preserve">, W. and De </w:t>
      </w:r>
      <w:proofErr w:type="spellStart"/>
      <w:r w:rsidRPr="00312389">
        <w:rPr>
          <w:rFonts w:ascii="Arial" w:hAnsi="Arial" w:cs="Arial"/>
        </w:rPr>
        <w:t>Haes</w:t>
      </w:r>
      <w:proofErr w:type="spellEnd"/>
      <w:r w:rsidRPr="00312389">
        <w:rPr>
          <w:rFonts w:ascii="Arial" w:hAnsi="Arial" w:cs="Arial"/>
        </w:rPr>
        <w:t>, S.</w:t>
      </w:r>
      <w:r w:rsidR="00B176DB" w:rsidRPr="00312389">
        <w:rPr>
          <w:rFonts w:ascii="Arial" w:hAnsi="Arial" w:cs="Arial"/>
        </w:rPr>
        <w:t xml:space="preserve"> (</w:t>
      </w:r>
      <w:r w:rsidRPr="00312389">
        <w:rPr>
          <w:rFonts w:ascii="Arial" w:hAnsi="Arial" w:cs="Arial"/>
        </w:rPr>
        <w:t>2018</w:t>
      </w:r>
      <w:r w:rsidR="00B176DB" w:rsidRPr="00312389">
        <w:rPr>
          <w:rFonts w:ascii="Arial" w:hAnsi="Arial" w:cs="Arial"/>
        </w:rPr>
        <w:t>)</w:t>
      </w:r>
      <w:r w:rsidRPr="00312389">
        <w:rPr>
          <w:rFonts w:ascii="Arial" w:hAnsi="Arial" w:cs="Arial"/>
        </w:rPr>
        <w:t xml:space="preserve">. </w:t>
      </w:r>
      <w:r w:rsidRPr="00996D9A">
        <w:rPr>
          <w:rFonts w:ascii="Arial" w:hAnsi="Arial" w:cs="Arial"/>
          <w:u w:val="single"/>
        </w:rPr>
        <w:t xml:space="preserve">Introduction to the </w:t>
      </w:r>
      <w:proofErr w:type="spellStart"/>
      <w:r w:rsidRPr="00996D9A">
        <w:rPr>
          <w:rFonts w:ascii="Arial" w:hAnsi="Arial" w:cs="Arial"/>
          <w:u w:val="single"/>
        </w:rPr>
        <w:t>Minitrack</w:t>
      </w:r>
      <w:proofErr w:type="spellEnd"/>
      <w:r w:rsidRPr="00996D9A">
        <w:rPr>
          <w:rFonts w:ascii="Arial" w:hAnsi="Arial" w:cs="Arial"/>
          <w:u w:val="single"/>
        </w:rPr>
        <w:t xml:space="preserve"> on IT Governance and its Mechanisms</w:t>
      </w:r>
      <w:r w:rsidRPr="00312389">
        <w:rPr>
          <w:rFonts w:ascii="Arial" w:hAnsi="Arial" w:cs="Arial"/>
        </w:rPr>
        <w:t xml:space="preserve">. Available at: https://scholarspace.manoa.hawaii.edu/bitstream/10125/50500/paper0613.pdf (Accessed: 20 </w:t>
      </w:r>
      <w:r w:rsidR="001C5572">
        <w:rPr>
          <w:rFonts w:ascii="Arial" w:hAnsi="Arial" w:cs="Arial"/>
        </w:rPr>
        <w:t>December</w:t>
      </w:r>
      <w:r w:rsidRPr="00312389">
        <w:rPr>
          <w:rFonts w:ascii="Arial" w:hAnsi="Arial" w:cs="Arial"/>
        </w:rPr>
        <w:t xml:space="preserve"> 20</w:t>
      </w:r>
      <w:r w:rsidR="001C5572">
        <w:rPr>
          <w:rFonts w:ascii="Arial" w:hAnsi="Arial" w:cs="Arial"/>
        </w:rPr>
        <w:t>20</w:t>
      </w:r>
      <w:r w:rsidRPr="00312389">
        <w:rPr>
          <w:rFonts w:ascii="Arial" w:hAnsi="Arial" w:cs="Arial"/>
        </w:rPr>
        <w:t>)</w:t>
      </w:r>
    </w:p>
    <w:p w14:paraId="725FCC4A" w14:textId="2A070968" w:rsidR="00461BC3" w:rsidRPr="00312389" w:rsidRDefault="00461BC3" w:rsidP="00D40EBB">
      <w:pPr>
        <w:spacing w:line="480" w:lineRule="auto"/>
        <w:rPr>
          <w:rFonts w:ascii="Arial" w:hAnsi="Arial" w:cs="Arial"/>
        </w:rPr>
      </w:pPr>
      <w:r w:rsidRPr="00312389">
        <w:rPr>
          <w:rFonts w:ascii="Arial" w:hAnsi="Arial" w:cs="Arial"/>
        </w:rPr>
        <w:t xml:space="preserve">Van </w:t>
      </w:r>
      <w:proofErr w:type="spellStart"/>
      <w:r w:rsidRPr="00312389">
        <w:rPr>
          <w:rFonts w:ascii="Arial" w:hAnsi="Arial" w:cs="Arial"/>
        </w:rPr>
        <w:t>Grembergen</w:t>
      </w:r>
      <w:proofErr w:type="spellEnd"/>
      <w:r w:rsidRPr="00312389">
        <w:rPr>
          <w:rFonts w:ascii="Arial" w:hAnsi="Arial" w:cs="Arial"/>
        </w:rPr>
        <w:t xml:space="preserve">, W., De </w:t>
      </w:r>
      <w:proofErr w:type="spellStart"/>
      <w:r w:rsidRPr="00312389">
        <w:rPr>
          <w:rFonts w:ascii="Arial" w:hAnsi="Arial" w:cs="Arial"/>
        </w:rPr>
        <w:t>Haes</w:t>
      </w:r>
      <w:proofErr w:type="spellEnd"/>
      <w:r w:rsidRPr="00312389">
        <w:rPr>
          <w:rFonts w:ascii="Arial" w:hAnsi="Arial" w:cs="Arial"/>
        </w:rPr>
        <w:t xml:space="preserve">, S. and </w:t>
      </w:r>
      <w:proofErr w:type="spellStart"/>
      <w:r w:rsidRPr="00312389">
        <w:rPr>
          <w:rFonts w:ascii="Arial" w:hAnsi="Arial" w:cs="Arial"/>
        </w:rPr>
        <w:t>Guldentops</w:t>
      </w:r>
      <w:proofErr w:type="spellEnd"/>
      <w:r w:rsidRPr="00312389">
        <w:rPr>
          <w:rFonts w:ascii="Arial" w:hAnsi="Arial" w:cs="Arial"/>
        </w:rPr>
        <w:t xml:space="preserve">, E. (2004). </w:t>
      </w:r>
      <w:r w:rsidRPr="00996D9A">
        <w:rPr>
          <w:rFonts w:ascii="Arial" w:hAnsi="Arial" w:cs="Arial"/>
          <w:u w:val="single"/>
        </w:rPr>
        <w:t>Structures, processes and relational mechanisms for IT governance.</w:t>
      </w:r>
      <w:r w:rsidRPr="00312389">
        <w:rPr>
          <w:rFonts w:ascii="Arial" w:hAnsi="Arial" w:cs="Arial"/>
        </w:rPr>
        <w:t xml:space="preserve"> In </w:t>
      </w:r>
      <w:r w:rsidRPr="00312389">
        <w:rPr>
          <w:rFonts w:ascii="Arial" w:hAnsi="Arial" w:cs="Arial"/>
          <w:i/>
        </w:rPr>
        <w:t>Strategies for information technology governance</w:t>
      </w:r>
      <w:r w:rsidRPr="00312389">
        <w:rPr>
          <w:rFonts w:ascii="Arial" w:hAnsi="Arial" w:cs="Arial"/>
        </w:rPr>
        <w:t xml:space="preserve"> (pp. 1-36).</w:t>
      </w:r>
      <w:r w:rsidR="00996D9A">
        <w:rPr>
          <w:rFonts w:ascii="Arial" w:hAnsi="Arial" w:cs="Arial"/>
        </w:rPr>
        <w:t xml:space="preserve"> Pennsylvania:</w:t>
      </w:r>
      <w:r w:rsidRPr="00312389">
        <w:rPr>
          <w:rFonts w:ascii="Arial" w:hAnsi="Arial" w:cs="Arial"/>
        </w:rPr>
        <w:t xml:space="preserve"> IGI Global. </w:t>
      </w:r>
    </w:p>
    <w:p w14:paraId="4BADD348" w14:textId="77777777" w:rsidR="00461BC3" w:rsidRPr="00312389" w:rsidRDefault="00642D5B" w:rsidP="00D40EBB">
      <w:pPr>
        <w:spacing w:line="480" w:lineRule="auto"/>
        <w:rPr>
          <w:rFonts w:ascii="Arial" w:hAnsi="Arial" w:cs="Arial"/>
        </w:rPr>
      </w:pPr>
      <w:proofErr w:type="spellStart"/>
      <w:r w:rsidRPr="00312389">
        <w:rPr>
          <w:rFonts w:ascii="Arial" w:hAnsi="Arial" w:cs="Arial"/>
        </w:rPr>
        <w:lastRenderedPageBreak/>
        <w:t>Vejseli</w:t>
      </w:r>
      <w:proofErr w:type="spellEnd"/>
      <w:r w:rsidRPr="00312389">
        <w:rPr>
          <w:rFonts w:ascii="Arial" w:hAnsi="Arial" w:cs="Arial"/>
        </w:rPr>
        <w:t xml:space="preserve">, S., </w:t>
      </w:r>
      <w:proofErr w:type="spellStart"/>
      <w:r w:rsidRPr="00312389">
        <w:rPr>
          <w:rFonts w:ascii="Arial" w:hAnsi="Arial" w:cs="Arial"/>
        </w:rPr>
        <w:t>Rossmann</w:t>
      </w:r>
      <w:proofErr w:type="spellEnd"/>
      <w:r w:rsidRPr="00312389">
        <w:rPr>
          <w:rFonts w:ascii="Arial" w:hAnsi="Arial" w:cs="Arial"/>
        </w:rPr>
        <w:t>, A. and Connolly, T.</w:t>
      </w:r>
      <w:r w:rsidR="00B176DB" w:rsidRPr="00312389">
        <w:rPr>
          <w:rFonts w:ascii="Arial" w:hAnsi="Arial" w:cs="Arial"/>
        </w:rPr>
        <w:t xml:space="preserve"> (</w:t>
      </w:r>
      <w:r w:rsidRPr="00312389">
        <w:rPr>
          <w:rFonts w:ascii="Arial" w:hAnsi="Arial" w:cs="Arial"/>
        </w:rPr>
        <w:t>2019</w:t>
      </w:r>
      <w:r w:rsidR="00B176DB" w:rsidRPr="00312389">
        <w:rPr>
          <w:rFonts w:ascii="Arial" w:hAnsi="Arial" w:cs="Arial"/>
        </w:rPr>
        <w:t>)</w:t>
      </w:r>
      <w:r w:rsidRPr="00312389">
        <w:rPr>
          <w:rFonts w:ascii="Arial" w:hAnsi="Arial" w:cs="Arial"/>
        </w:rPr>
        <w:t xml:space="preserve">, January. </w:t>
      </w:r>
      <w:r w:rsidRPr="00996D9A">
        <w:rPr>
          <w:rFonts w:ascii="Arial" w:hAnsi="Arial" w:cs="Arial"/>
          <w:u w:val="single"/>
        </w:rPr>
        <w:t>IT Governance and Its Agile Dimensions</w:t>
      </w:r>
      <w:r w:rsidRPr="00312389">
        <w:rPr>
          <w:rFonts w:ascii="Arial" w:hAnsi="Arial" w:cs="Arial"/>
        </w:rPr>
        <w:t>. In </w:t>
      </w:r>
      <w:r w:rsidRPr="00312389">
        <w:rPr>
          <w:rFonts w:ascii="Arial" w:hAnsi="Arial" w:cs="Arial"/>
          <w:i/>
          <w:iCs/>
        </w:rPr>
        <w:t>Proceedings of the 52nd Hawaii International Conference on System Sciences</w:t>
      </w:r>
      <w:r w:rsidRPr="00312389">
        <w:rPr>
          <w:rFonts w:ascii="Arial" w:hAnsi="Arial" w:cs="Arial"/>
        </w:rPr>
        <w:t>.</w:t>
      </w:r>
    </w:p>
    <w:p w14:paraId="47B12AF6" w14:textId="566FB6DB" w:rsidR="00461BC3" w:rsidRPr="00312389" w:rsidRDefault="00461BC3" w:rsidP="00D40EBB">
      <w:pPr>
        <w:spacing w:line="480" w:lineRule="auto"/>
        <w:rPr>
          <w:rFonts w:ascii="Arial" w:hAnsi="Arial" w:cs="Arial"/>
        </w:rPr>
      </w:pPr>
      <w:r w:rsidRPr="00312389">
        <w:rPr>
          <w:rFonts w:ascii="Arial" w:hAnsi="Arial" w:cs="Arial"/>
        </w:rPr>
        <w:t xml:space="preserve">Von </w:t>
      </w:r>
      <w:proofErr w:type="spellStart"/>
      <w:r w:rsidRPr="00312389">
        <w:rPr>
          <w:rFonts w:ascii="Arial" w:hAnsi="Arial" w:cs="Arial"/>
        </w:rPr>
        <w:t>Solms</w:t>
      </w:r>
      <w:proofErr w:type="spellEnd"/>
      <w:r w:rsidRPr="00312389">
        <w:rPr>
          <w:rFonts w:ascii="Arial" w:hAnsi="Arial" w:cs="Arial"/>
        </w:rPr>
        <w:t xml:space="preserve">, R. and Van </w:t>
      </w:r>
      <w:proofErr w:type="spellStart"/>
      <w:r w:rsidRPr="00312389">
        <w:rPr>
          <w:rFonts w:ascii="Arial" w:hAnsi="Arial" w:cs="Arial"/>
        </w:rPr>
        <w:t>Niekerk</w:t>
      </w:r>
      <w:proofErr w:type="spellEnd"/>
      <w:r w:rsidRPr="00312389">
        <w:rPr>
          <w:rFonts w:ascii="Arial" w:hAnsi="Arial" w:cs="Arial"/>
        </w:rPr>
        <w:t xml:space="preserve">, J. (2013). </w:t>
      </w:r>
      <w:r w:rsidRPr="00996D9A">
        <w:rPr>
          <w:rFonts w:ascii="Arial" w:hAnsi="Arial" w:cs="Arial"/>
          <w:u w:val="single"/>
        </w:rPr>
        <w:t>From information security to cyber security.</w:t>
      </w:r>
      <w:r w:rsidRPr="00312389">
        <w:rPr>
          <w:rFonts w:ascii="Arial" w:hAnsi="Arial" w:cs="Arial"/>
        </w:rPr>
        <w:t xml:space="preserve"> </w:t>
      </w:r>
      <w:r w:rsidRPr="00312389">
        <w:rPr>
          <w:rFonts w:ascii="Arial" w:hAnsi="Arial" w:cs="Arial"/>
          <w:i/>
        </w:rPr>
        <w:t>computers &amp; security</w:t>
      </w:r>
      <w:r w:rsidRPr="00312389">
        <w:rPr>
          <w:rFonts w:ascii="Arial" w:hAnsi="Arial" w:cs="Arial"/>
        </w:rPr>
        <w:t xml:space="preserve">​​, </w:t>
      </w:r>
      <w:r w:rsidRPr="00312389">
        <w:rPr>
          <w:rFonts w:ascii="Arial" w:hAnsi="Arial" w:cs="Arial"/>
          <w:i/>
        </w:rPr>
        <w:t>38</w:t>
      </w:r>
      <w:r w:rsidRPr="00312389">
        <w:rPr>
          <w:rFonts w:ascii="Arial" w:hAnsi="Arial" w:cs="Arial"/>
        </w:rPr>
        <w:t xml:space="preserve">​ ​, pp.97-102. </w:t>
      </w:r>
    </w:p>
    <w:p w14:paraId="1D2F9F08" w14:textId="41F142D9" w:rsidR="00B02B7A" w:rsidRPr="00312389" w:rsidRDefault="00B02B7A" w:rsidP="00D40EBB">
      <w:pPr>
        <w:spacing w:line="480" w:lineRule="auto"/>
        <w:rPr>
          <w:rFonts w:ascii="Arial" w:hAnsi="Arial" w:cs="Arial"/>
        </w:rPr>
      </w:pPr>
      <w:proofErr w:type="spellStart"/>
      <w:r w:rsidRPr="00312389">
        <w:rPr>
          <w:rFonts w:ascii="Arial" w:hAnsi="Arial" w:cs="Arial"/>
        </w:rPr>
        <w:t>Walliman</w:t>
      </w:r>
      <w:proofErr w:type="spellEnd"/>
      <w:r w:rsidRPr="00312389">
        <w:rPr>
          <w:rFonts w:ascii="Arial" w:hAnsi="Arial" w:cs="Arial"/>
        </w:rPr>
        <w:t>, N. (2017). </w:t>
      </w:r>
      <w:r w:rsidRPr="00996D9A">
        <w:rPr>
          <w:rFonts w:ascii="Arial" w:hAnsi="Arial" w:cs="Arial"/>
          <w:i/>
          <w:iCs/>
          <w:u w:val="single"/>
        </w:rPr>
        <w:t>Research methods: The basics</w:t>
      </w:r>
      <w:r w:rsidRPr="00312389">
        <w:rPr>
          <w:rFonts w:ascii="Arial" w:hAnsi="Arial" w:cs="Arial"/>
        </w:rPr>
        <w:t>. Oxon: Routledge.</w:t>
      </w:r>
    </w:p>
    <w:p w14:paraId="1111A3B4" w14:textId="77777777" w:rsidR="00461BC3" w:rsidRPr="00312389" w:rsidRDefault="00461BC3" w:rsidP="00D40EBB">
      <w:pPr>
        <w:spacing w:line="480" w:lineRule="auto"/>
        <w:rPr>
          <w:rFonts w:ascii="Arial" w:hAnsi="Arial" w:cs="Arial"/>
        </w:rPr>
      </w:pPr>
      <w:r w:rsidRPr="00312389">
        <w:rPr>
          <w:rFonts w:ascii="Arial" w:hAnsi="Arial" w:cs="Arial"/>
        </w:rPr>
        <w:t xml:space="preserve">Webb, P., Pollard, C. and Ridley, G. (2006), January. </w:t>
      </w:r>
      <w:r w:rsidRPr="00996D9A">
        <w:rPr>
          <w:rFonts w:ascii="Arial" w:hAnsi="Arial" w:cs="Arial"/>
          <w:u w:val="single"/>
        </w:rPr>
        <w:t>Attempting to define IT governance: Wisdom or folly?.</w:t>
      </w:r>
      <w:r w:rsidRPr="00312389">
        <w:rPr>
          <w:rFonts w:ascii="Arial" w:hAnsi="Arial" w:cs="Arial"/>
        </w:rPr>
        <w:t xml:space="preserve"> In </w:t>
      </w:r>
      <w:r w:rsidRPr="00312389">
        <w:rPr>
          <w:rFonts w:ascii="Arial" w:hAnsi="Arial" w:cs="Arial"/>
          <w:i/>
        </w:rPr>
        <w:t>Proceedings of the 39th Annual Hawaii International Conference on System Sciences (HICSS'06)</w:t>
      </w:r>
      <w:r w:rsidRPr="00312389">
        <w:rPr>
          <w:rFonts w:ascii="Arial" w:hAnsi="Arial" w:cs="Arial"/>
        </w:rPr>
        <w:t xml:space="preserve">​ (Vol. 8, pp. 194a-194a). IEEE. </w:t>
      </w:r>
    </w:p>
    <w:p w14:paraId="4594795C" w14:textId="743C7091" w:rsidR="00642D5B" w:rsidRPr="00312389" w:rsidRDefault="00642D5B" w:rsidP="00D40EBB">
      <w:pPr>
        <w:spacing w:line="480" w:lineRule="auto"/>
        <w:rPr>
          <w:rFonts w:ascii="Arial" w:hAnsi="Arial" w:cs="Arial"/>
        </w:rPr>
      </w:pPr>
      <w:r w:rsidRPr="00312389">
        <w:rPr>
          <w:rFonts w:ascii="Arial" w:hAnsi="Arial" w:cs="Arial"/>
        </w:rPr>
        <w:t>Weber, V.</w:t>
      </w:r>
      <w:r w:rsidR="00B176DB" w:rsidRPr="00312389">
        <w:rPr>
          <w:rFonts w:ascii="Arial" w:hAnsi="Arial" w:cs="Arial"/>
        </w:rPr>
        <w:t xml:space="preserve"> (</w:t>
      </w:r>
      <w:r w:rsidRPr="00312389">
        <w:rPr>
          <w:rFonts w:ascii="Arial" w:hAnsi="Arial" w:cs="Arial"/>
        </w:rPr>
        <w:t>2018</w:t>
      </w:r>
      <w:r w:rsidR="00B176DB" w:rsidRPr="00312389">
        <w:rPr>
          <w:rFonts w:ascii="Arial" w:hAnsi="Arial" w:cs="Arial"/>
        </w:rPr>
        <w:t>)</w:t>
      </w:r>
      <w:r w:rsidRPr="00312389">
        <w:rPr>
          <w:rFonts w:ascii="Arial" w:hAnsi="Arial" w:cs="Arial"/>
        </w:rPr>
        <w:t xml:space="preserve">. </w:t>
      </w:r>
      <w:r w:rsidRPr="00996D9A">
        <w:rPr>
          <w:rFonts w:ascii="Arial" w:hAnsi="Arial" w:cs="Arial"/>
          <w:u w:val="single"/>
        </w:rPr>
        <w:t>Linking cyber strategy with grand strategy: the case of the United States</w:t>
      </w:r>
      <w:r w:rsidRPr="00312389">
        <w:rPr>
          <w:rFonts w:ascii="Arial" w:hAnsi="Arial" w:cs="Arial"/>
        </w:rPr>
        <w:t xml:space="preserve">. </w:t>
      </w:r>
      <w:r w:rsidRPr="00312389">
        <w:rPr>
          <w:rFonts w:ascii="Arial" w:hAnsi="Arial" w:cs="Arial"/>
          <w:i/>
          <w:iCs/>
        </w:rPr>
        <w:t>Journal of Cyber Policy</w:t>
      </w:r>
      <w:r w:rsidRPr="00312389">
        <w:rPr>
          <w:rFonts w:ascii="Arial" w:hAnsi="Arial" w:cs="Arial"/>
        </w:rPr>
        <w:t xml:space="preserve">, </w:t>
      </w:r>
      <w:r w:rsidRPr="00312389">
        <w:rPr>
          <w:rFonts w:ascii="Arial" w:hAnsi="Arial" w:cs="Arial"/>
          <w:i/>
          <w:iCs/>
        </w:rPr>
        <w:t>3</w:t>
      </w:r>
      <w:r w:rsidRPr="00312389">
        <w:rPr>
          <w:rFonts w:ascii="Arial" w:hAnsi="Arial" w:cs="Arial"/>
        </w:rPr>
        <w:t>(2), pp.236-257.</w:t>
      </w:r>
    </w:p>
    <w:p w14:paraId="0C6FFAD2" w14:textId="77777777" w:rsidR="00461BC3" w:rsidRPr="00312389" w:rsidRDefault="00461BC3" w:rsidP="00D40EBB">
      <w:pPr>
        <w:spacing w:line="480" w:lineRule="auto"/>
        <w:rPr>
          <w:rFonts w:ascii="Arial" w:hAnsi="Arial" w:cs="Arial"/>
        </w:rPr>
      </w:pPr>
      <w:proofErr w:type="spellStart"/>
      <w:r w:rsidRPr="00312389">
        <w:rPr>
          <w:rFonts w:ascii="Arial" w:hAnsi="Arial" w:cs="Arial"/>
        </w:rPr>
        <w:t>Weerasinghe</w:t>
      </w:r>
      <w:proofErr w:type="spellEnd"/>
      <w:r w:rsidRPr="00312389">
        <w:rPr>
          <w:rFonts w:ascii="Arial" w:hAnsi="Arial" w:cs="Arial"/>
        </w:rPr>
        <w:t xml:space="preserve">, K., </w:t>
      </w:r>
      <w:proofErr w:type="spellStart"/>
      <w:r w:rsidRPr="00312389">
        <w:rPr>
          <w:rFonts w:ascii="Arial" w:hAnsi="Arial" w:cs="Arial"/>
        </w:rPr>
        <w:t>Scahill</w:t>
      </w:r>
      <w:proofErr w:type="spellEnd"/>
      <w:r w:rsidRPr="00312389">
        <w:rPr>
          <w:rFonts w:ascii="Arial" w:hAnsi="Arial" w:cs="Arial"/>
        </w:rPr>
        <w:t xml:space="preserve">, S.L., </w:t>
      </w:r>
      <w:proofErr w:type="spellStart"/>
      <w:r w:rsidRPr="00312389">
        <w:rPr>
          <w:rFonts w:ascii="Arial" w:hAnsi="Arial" w:cs="Arial"/>
        </w:rPr>
        <w:t>Taskin</w:t>
      </w:r>
      <w:proofErr w:type="spellEnd"/>
      <w:r w:rsidRPr="00312389">
        <w:rPr>
          <w:rFonts w:ascii="Arial" w:hAnsi="Arial" w:cs="Arial"/>
        </w:rPr>
        <w:t xml:space="preserve">, N. and </w:t>
      </w:r>
      <w:proofErr w:type="spellStart"/>
      <w:r w:rsidRPr="00312389">
        <w:rPr>
          <w:rFonts w:ascii="Arial" w:hAnsi="Arial" w:cs="Arial"/>
        </w:rPr>
        <w:t>Pauleen</w:t>
      </w:r>
      <w:proofErr w:type="spellEnd"/>
      <w:r w:rsidRPr="00312389">
        <w:rPr>
          <w:rFonts w:ascii="Arial" w:hAnsi="Arial" w:cs="Arial"/>
        </w:rPr>
        <w:t xml:space="preserve">, D.J. (2018). </w:t>
      </w:r>
      <w:r w:rsidRPr="00996D9A">
        <w:rPr>
          <w:rFonts w:ascii="Arial" w:hAnsi="Arial" w:cs="Arial"/>
          <w:u w:val="single"/>
        </w:rPr>
        <w:t>Development of a Taxonomy to be used by Business-IT Alignment Researchers.</w:t>
      </w:r>
      <w:r w:rsidRPr="00312389">
        <w:rPr>
          <w:rFonts w:ascii="Arial" w:hAnsi="Arial" w:cs="Arial"/>
        </w:rPr>
        <w:t xml:space="preserve"> ​</w:t>
      </w:r>
      <w:r w:rsidRPr="00312389">
        <w:rPr>
          <w:rFonts w:ascii="Arial" w:hAnsi="Arial" w:cs="Arial"/>
          <w:i/>
        </w:rPr>
        <w:t>Development</w:t>
      </w:r>
      <w:r w:rsidRPr="00312389">
        <w:rPr>
          <w:rFonts w:ascii="Arial" w:hAnsi="Arial" w:cs="Arial"/>
        </w:rPr>
        <w:t xml:space="preserve">​, </w:t>
      </w:r>
      <w:r w:rsidRPr="00312389">
        <w:rPr>
          <w:rFonts w:ascii="Arial" w:hAnsi="Arial" w:cs="Arial"/>
          <w:i/>
        </w:rPr>
        <w:t>6</w:t>
      </w:r>
      <w:r w:rsidRPr="00312389">
        <w:rPr>
          <w:rFonts w:ascii="Arial" w:hAnsi="Arial" w:cs="Arial"/>
        </w:rPr>
        <w:t xml:space="preserve">​ ​, pp.26-2018. </w:t>
      </w:r>
    </w:p>
    <w:p w14:paraId="3EF6106C" w14:textId="77777777" w:rsidR="00461BC3" w:rsidRPr="00312389" w:rsidRDefault="00461BC3" w:rsidP="00D40EBB">
      <w:pPr>
        <w:spacing w:line="480" w:lineRule="auto"/>
        <w:rPr>
          <w:rFonts w:ascii="Arial" w:hAnsi="Arial" w:cs="Arial"/>
        </w:rPr>
      </w:pPr>
      <w:proofErr w:type="spellStart"/>
      <w:r w:rsidRPr="00312389">
        <w:rPr>
          <w:rFonts w:ascii="Arial" w:hAnsi="Arial" w:cs="Arial"/>
        </w:rPr>
        <w:t>Weerasinghe</w:t>
      </w:r>
      <w:proofErr w:type="spellEnd"/>
      <w:r w:rsidRPr="00312389">
        <w:rPr>
          <w:rFonts w:ascii="Arial" w:hAnsi="Arial" w:cs="Arial"/>
        </w:rPr>
        <w:t xml:space="preserve">, K., </w:t>
      </w:r>
      <w:proofErr w:type="spellStart"/>
      <w:r w:rsidRPr="00312389">
        <w:rPr>
          <w:rFonts w:ascii="Arial" w:hAnsi="Arial" w:cs="Arial"/>
        </w:rPr>
        <w:t>Pauleen</w:t>
      </w:r>
      <w:proofErr w:type="spellEnd"/>
      <w:r w:rsidRPr="00312389">
        <w:rPr>
          <w:rFonts w:ascii="Arial" w:hAnsi="Arial" w:cs="Arial"/>
        </w:rPr>
        <w:t xml:space="preserve">, D., </w:t>
      </w:r>
      <w:proofErr w:type="spellStart"/>
      <w:r w:rsidRPr="00312389">
        <w:rPr>
          <w:rFonts w:ascii="Arial" w:hAnsi="Arial" w:cs="Arial"/>
        </w:rPr>
        <w:t>Scahill</w:t>
      </w:r>
      <w:proofErr w:type="spellEnd"/>
      <w:r w:rsidRPr="00312389">
        <w:rPr>
          <w:rFonts w:ascii="Arial" w:hAnsi="Arial" w:cs="Arial"/>
        </w:rPr>
        <w:t xml:space="preserve">, S. and </w:t>
      </w:r>
      <w:proofErr w:type="spellStart"/>
      <w:r w:rsidRPr="00312389">
        <w:rPr>
          <w:rFonts w:ascii="Arial" w:hAnsi="Arial" w:cs="Arial"/>
        </w:rPr>
        <w:t>Taskin</w:t>
      </w:r>
      <w:proofErr w:type="spellEnd"/>
      <w:r w:rsidRPr="00312389">
        <w:rPr>
          <w:rFonts w:ascii="Arial" w:hAnsi="Arial" w:cs="Arial"/>
        </w:rPr>
        <w:t xml:space="preserve">, N. (2018). </w:t>
      </w:r>
      <w:r w:rsidRPr="00996D9A">
        <w:rPr>
          <w:rFonts w:ascii="Arial" w:hAnsi="Arial" w:cs="Arial"/>
          <w:u w:val="single"/>
        </w:rPr>
        <w:t>Development of a Theoretical Framework to Investigate Alignment of Big Data in Healthcare through a Social Representation Lens</w:t>
      </w:r>
      <w:r w:rsidRPr="00312389">
        <w:rPr>
          <w:rFonts w:ascii="Arial" w:hAnsi="Arial" w:cs="Arial"/>
        </w:rPr>
        <w:t>. ​</w:t>
      </w:r>
      <w:r w:rsidRPr="00312389">
        <w:rPr>
          <w:rFonts w:ascii="Arial" w:hAnsi="Arial" w:cs="Arial"/>
          <w:i/>
        </w:rPr>
        <w:t>Australasian Journal of Information Systems</w:t>
      </w:r>
      <w:r w:rsidRPr="00312389">
        <w:rPr>
          <w:rFonts w:ascii="Arial" w:hAnsi="Arial" w:cs="Arial"/>
        </w:rPr>
        <w:t xml:space="preserve">​, </w:t>
      </w:r>
      <w:r w:rsidRPr="00312389">
        <w:rPr>
          <w:rFonts w:ascii="Arial" w:hAnsi="Arial" w:cs="Arial"/>
          <w:i/>
        </w:rPr>
        <w:t>22</w:t>
      </w:r>
      <w:r w:rsidRPr="00312389">
        <w:rPr>
          <w:rFonts w:ascii="Arial" w:hAnsi="Arial" w:cs="Arial"/>
        </w:rPr>
        <w:t xml:space="preserve">​ ​. </w:t>
      </w:r>
    </w:p>
    <w:p w14:paraId="0F5EAA74" w14:textId="1D93F342" w:rsidR="00461BC3" w:rsidRPr="00312389" w:rsidRDefault="00461BC3" w:rsidP="00D40EBB">
      <w:pPr>
        <w:spacing w:line="480" w:lineRule="auto"/>
        <w:rPr>
          <w:rFonts w:ascii="Arial" w:hAnsi="Arial" w:cs="Arial"/>
        </w:rPr>
      </w:pPr>
      <w:r w:rsidRPr="00312389">
        <w:rPr>
          <w:rFonts w:ascii="Arial" w:hAnsi="Arial" w:cs="Arial"/>
        </w:rPr>
        <w:t>Weill, P. and Ross, J.W. (2004). </w:t>
      </w:r>
      <w:r w:rsidRPr="00C07E26">
        <w:rPr>
          <w:rFonts w:ascii="Arial" w:hAnsi="Arial" w:cs="Arial"/>
          <w:u w:val="single"/>
        </w:rPr>
        <w:t>IT governance: How top performers manage IT decision rights for superior results</w:t>
      </w:r>
      <w:r w:rsidRPr="007F021C">
        <w:rPr>
          <w:rFonts w:ascii="Arial" w:hAnsi="Arial" w:cs="Arial"/>
          <w:u w:val="single"/>
        </w:rPr>
        <w:t>.</w:t>
      </w:r>
      <w:r w:rsidRPr="00312389">
        <w:rPr>
          <w:rFonts w:ascii="Arial" w:hAnsi="Arial" w:cs="Arial"/>
        </w:rPr>
        <w:t xml:space="preserve"> </w:t>
      </w:r>
      <w:r w:rsidR="003C446A">
        <w:rPr>
          <w:rFonts w:ascii="Arial" w:hAnsi="Arial" w:cs="Arial"/>
        </w:rPr>
        <w:t xml:space="preserve">Boston: </w:t>
      </w:r>
      <w:r w:rsidRPr="00312389">
        <w:rPr>
          <w:rFonts w:ascii="Arial" w:hAnsi="Arial" w:cs="Arial"/>
        </w:rPr>
        <w:t>Harvard Business Press.</w:t>
      </w:r>
    </w:p>
    <w:p w14:paraId="00E0D9AD" w14:textId="77777777" w:rsidR="00461BC3" w:rsidRPr="00312389" w:rsidRDefault="00461BC3" w:rsidP="00D40EBB">
      <w:pPr>
        <w:spacing w:line="480" w:lineRule="auto"/>
        <w:rPr>
          <w:rFonts w:ascii="Arial" w:hAnsi="Arial" w:cs="Arial"/>
        </w:rPr>
      </w:pPr>
      <w:r w:rsidRPr="00312389">
        <w:rPr>
          <w:rFonts w:ascii="Arial" w:hAnsi="Arial" w:cs="Arial"/>
        </w:rPr>
        <w:lastRenderedPageBreak/>
        <w:t xml:space="preserve">Weill, P. (2004). </w:t>
      </w:r>
      <w:r w:rsidRPr="003C446A">
        <w:rPr>
          <w:rFonts w:ascii="Arial" w:hAnsi="Arial" w:cs="Arial"/>
          <w:u w:val="single"/>
        </w:rPr>
        <w:t>Don’t just lead, govern: How top-performing firms govern IT</w:t>
      </w:r>
      <w:r w:rsidRPr="00312389">
        <w:rPr>
          <w:rFonts w:ascii="Arial" w:hAnsi="Arial" w:cs="Arial"/>
        </w:rPr>
        <w:t>. ​</w:t>
      </w:r>
      <w:r w:rsidRPr="00312389">
        <w:rPr>
          <w:rFonts w:ascii="Arial" w:hAnsi="Arial" w:cs="Arial"/>
          <w:i/>
        </w:rPr>
        <w:t>MIS Quarterly executive</w:t>
      </w:r>
      <w:r w:rsidRPr="00312389">
        <w:rPr>
          <w:rFonts w:ascii="Arial" w:hAnsi="Arial" w:cs="Arial"/>
        </w:rPr>
        <w:t>​, ​</w:t>
      </w:r>
      <w:r w:rsidRPr="00312389">
        <w:rPr>
          <w:rFonts w:ascii="Arial" w:hAnsi="Arial" w:cs="Arial"/>
          <w:i/>
        </w:rPr>
        <w:t>3</w:t>
      </w:r>
      <w:r w:rsidRPr="00312389">
        <w:rPr>
          <w:rFonts w:ascii="Arial" w:hAnsi="Arial" w:cs="Arial"/>
        </w:rPr>
        <w:t xml:space="preserve">​(1), pp.1-17. </w:t>
      </w:r>
    </w:p>
    <w:p w14:paraId="4D0B7E8A" w14:textId="4B95BB65" w:rsidR="00461BC3" w:rsidRPr="00312389" w:rsidRDefault="00461BC3" w:rsidP="00D40EBB">
      <w:pPr>
        <w:spacing w:line="480" w:lineRule="auto"/>
        <w:rPr>
          <w:rFonts w:ascii="Arial" w:hAnsi="Arial" w:cs="Arial"/>
        </w:rPr>
      </w:pPr>
      <w:r w:rsidRPr="00312389">
        <w:rPr>
          <w:rFonts w:ascii="Arial" w:hAnsi="Arial" w:cs="Arial"/>
        </w:rPr>
        <w:t xml:space="preserve">Weill, P. and Broadbent, M. (1998). </w:t>
      </w:r>
      <w:r w:rsidRPr="00BF00E0">
        <w:rPr>
          <w:rFonts w:ascii="Arial" w:hAnsi="Arial" w:cs="Arial"/>
        </w:rPr>
        <w:t>​</w:t>
      </w:r>
      <w:r w:rsidRPr="00BF00E0">
        <w:rPr>
          <w:rFonts w:ascii="Arial" w:hAnsi="Arial" w:cs="Arial"/>
          <w:u w:val="single"/>
        </w:rPr>
        <w:t>Leveraging the new infrastructure: how market leaders capitalize on information technology</w:t>
      </w:r>
      <w:r w:rsidRPr="00312389">
        <w:rPr>
          <w:rFonts w:ascii="Arial" w:hAnsi="Arial" w:cs="Arial"/>
        </w:rPr>
        <w:t xml:space="preserve">​. </w:t>
      </w:r>
      <w:r w:rsidR="00CA4F9D" w:rsidRPr="00312389">
        <w:rPr>
          <w:rFonts w:ascii="Arial" w:hAnsi="Arial" w:cs="Arial"/>
        </w:rPr>
        <w:t xml:space="preserve">Massachusetts: </w:t>
      </w:r>
      <w:r w:rsidRPr="00312389">
        <w:rPr>
          <w:rFonts w:ascii="Arial" w:hAnsi="Arial" w:cs="Arial"/>
        </w:rPr>
        <w:t xml:space="preserve">Harvard Business Press. </w:t>
      </w:r>
    </w:p>
    <w:p w14:paraId="4D0252EB" w14:textId="5CAAABE8" w:rsidR="00461BC3" w:rsidRPr="00312389" w:rsidRDefault="00461BC3" w:rsidP="00D40EBB">
      <w:pPr>
        <w:spacing w:line="480" w:lineRule="auto"/>
        <w:rPr>
          <w:rFonts w:ascii="Arial" w:hAnsi="Arial" w:cs="Arial"/>
        </w:rPr>
      </w:pPr>
      <w:r w:rsidRPr="00312389">
        <w:rPr>
          <w:rFonts w:ascii="Arial" w:hAnsi="Arial" w:cs="Arial"/>
        </w:rPr>
        <w:t xml:space="preserve">Weimer, D.L. and Vining, A.R. (2017). </w:t>
      </w:r>
      <w:r w:rsidRPr="00BF00E0">
        <w:rPr>
          <w:rFonts w:ascii="Arial" w:hAnsi="Arial" w:cs="Arial"/>
          <w:iCs/>
          <w:u w:val="single"/>
        </w:rPr>
        <w:t>Policy analysis: Concepts and practice</w:t>
      </w:r>
      <w:r w:rsidRPr="00BF00E0">
        <w:rPr>
          <w:rFonts w:ascii="Arial" w:hAnsi="Arial" w:cs="Arial"/>
          <w:iCs/>
        </w:rPr>
        <w:t>​​</w:t>
      </w:r>
      <w:r w:rsidRPr="00312389">
        <w:rPr>
          <w:rFonts w:ascii="Arial" w:hAnsi="Arial" w:cs="Arial"/>
        </w:rPr>
        <w:t xml:space="preserve">. Oxon: Routledge. </w:t>
      </w:r>
    </w:p>
    <w:p w14:paraId="3EF53E62" w14:textId="77777777" w:rsidR="00CA4F9D" w:rsidRPr="00312389" w:rsidRDefault="00642D5B" w:rsidP="00D40EBB">
      <w:pPr>
        <w:spacing w:line="480" w:lineRule="auto"/>
        <w:rPr>
          <w:rFonts w:ascii="Arial" w:hAnsi="Arial" w:cs="Arial"/>
        </w:rPr>
      </w:pPr>
      <w:r w:rsidRPr="00312389">
        <w:rPr>
          <w:rFonts w:ascii="Arial" w:hAnsi="Arial" w:cs="Arial"/>
        </w:rPr>
        <w:t>Wilkin, C.</w:t>
      </w:r>
      <w:r w:rsidR="00B176DB" w:rsidRPr="00312389">
        <w:rPr>
          <w:rFonts w:ascii="Arial" w:hAnsi="Arial" w:cs="Arial"/>
        </w:rPr>
        <w:t xml:space="preserve"> (</w:t>
      </w:r>
      <w:r w:rsidRPr="00312389">
        <w:rPr>
          <w:rFonts w:ascii="Arial" w:hAnsi="Arial" w:cs="Arial"/>
        </w:rPr>
        <w:t>2012</w:t>
      </w:r>
      <w:r w:rsidR="00B176DB" w:rsidRPr="00312389">
        <w:rPr>
          <w:rFonts w:ascii="Arial" w:hAnsi="Arial" w:cs="Arial"/>
        </w:rPr>
        <w:t>)</w:t>
      </w:r>
      <w:r w:rsidRPr="00312389">
        <w:rPr>
          <w:rFonts w:ascii="Arial" w:hAnsi="Arial" w:cs="Arial"/>
        </w:rPr>
        <w:t xml:space="preserve">. </w:t>
      </w:r>
      <w:r w:rsidRPr="00D21F91">
        <w:rPr>
          <w:rFonts w:ascii="Arial" w:hAnsi="Arial" w:cs="Arial"/>
          <w:u w:val="single"/>
        </w:rPr>
        <w:t>The role of IT governance practices in creating business value in SMEs</w:t>
      </w:r>
      <w:r w:rsidRPr="00312389">
        <w:rPr>
          <w:rFonts w:ascii="Arial" w:hAnsi="Arial" w:cs="Arial"/>
        </w:rPr>
        <w:t>. </w:t>
      </w:r>
      <w:r w:rsidRPr="00312389">
        <w:rPr>
          <w:rFonts w:ascii="Arial" w:hAnsi="Arial" w:cs="Arial"/>
          <w:i/>
          <w:iCs/>
        </w:rPr>
        <w:t>Journal of Organizational and End User Computing (JOEUC)</w:t>
      </w:r>
      <w:r w:rsidRPr="00312389">
        <w:rPr>
          <w:rFonts w:ascii="Arial" w:hAnsi="Arial" w:cs="Arial"/>
        </w:rPr>
        <w:t>, </w:t>
      </w:r>
      <w:r w:rsidRPr="00312389">
        <w:rPr>
          <w:rFonts w:ascii="Arial" w:hAnsi="Arial" w:cs="Arial"/>
          <w:i/>
          <w:iCs/>
        </w:rPr>
        <w:t>24</w:t>
      </w:r>
      <w:r w:rsidRPr="00312389">
        <w:rPr>
          <w:rFonts w:ascii="Arial" w:hAnsi="Arial" w:cs="Arial"/>
        </w:rPr>
        <w:t>(2), pp.1-17.</w:t>
      </w:r>
    </w:p>
    <w:p w14:paraId="3F19183E" w14:textId="77777777" w:rsidR="00CA4F9D" w:rsidRPr="00312389" w:rsidRDefault="00CA4F9D" w:rsidP="00D40EBB">
      <w:pPr>
        <w:spacing w:line="480" w:lineRule="auto"/>
        <w:rPr>
          <w:rFonts w:ascii="Arial" w:hAnsi="Arial" w:cs="Arial"/>
        </w:rPr>
      </w:pPr>
      <w:r w:rsidRPr="00312389">
        <w:rPr>
          <w:rFonts w:ascii="Arial" w:hAnsi="Arial" w:cs="Arial"/>
        </w:rPr>
        <w:t xml:space="preserve">Williams, C. (2014). </w:t>
      </w:r>
      <w:r w:rsidRPr="00D21F91">
        <w:rPr>
          <w:rFonts w:ascii="Arial" w:hAnsi="Arial" w:cs="Arial"/>
          <w:u w:val="single"/>
        </w:rPr>
        <w:t>Security in the cyber supply chain: Is it achievable in a complex, interconnected world?</w:t>
      </w:r>
      <w:r w:rsidRPr="00312389">
        <w:rPr>
          <w:rFonts w:ascii="Arial" w:hAnsi="Arial" w:cs="Arial"/>
        </w:rPr>
        <w:t xml:space="preserve">. </w:t>
      </w:r>
      <w:proofErr w:type="spellStart"/>
      <w:r w:rsidRPr="00312389">
        <w:rPr>
          <w:rFonts w:ascii="Arial" w:hAnsi="Arial" w:cs="Arial"/>
          <w:i/>
        </w:rPr>
        <w:t>Technovation</w:t>
      </w:r>
      <w:proofErr w:type="spellEnd"/>
      <w:r w:rsidRPr="00312389">
        <w:rPr>
          <w:rFonts w:ascii="Arial" w:hAnsi="Arial" w:cs="Arial"/>
        </w:rPr>
        <w:t xml:space="preserve">​, </w:t>
      </w:r>
      <w:r w:rsidRPr="00312389">
        <w:rPr>
          <w:rFonts w:ascii="Arial" w:hAnsi="Arial" w:cs="Arial"/>
          <w:i/>
        </w:rPr>
        <w:t>34</w:t>
      </w:r>
      <w:r w:rsidRPr="00312389">
        <w:rPr>
          <w:rFonts w:ascii="Arial" w:hAnsi="Arial" w:cs="Arial"/>
        </w:rPr>
        <w:t>​ ​(7), pp.382-384.</w:t>
      </w:r>
    </w:p>
    <w:p w14:paraId="1504A785" w14:textId="2E9256CF" w:rsidR="00CA4F9D" w:rsidRPr="00312389" w:rsidRDefault="00CA4F9D" w:rsidP="00D40EBB">
      <w:pPr>
        <w:spacing w:line="480" w:lineRule="auto"/>
        <w:rPr>
          <w:rFonts w:ascii="Arial" w:hAnsi="Arial" w:cs="Arial"/>
        </w:rPr>
      </w:pPr>
      <w:r w:rsidRPr="00312389">
        <w:rPr>
          <w:rFonts w:ascii="Arial" w:hAnsi="Arial" w:cs="Arial"/>
        </w:rPr>
        <w:t xml:space="preserve">Woods, D. and Simpson, A. (2017). </w:t>
      </w:r>
      <w:r w:rsidRPr="00D21F91">
        <w:rPr>
          <w:rFonts w:ascii="Arial" w:hAnsi="Arial" w:cs="Arial"/>
          <w:u w:val="single"/>
        </w:rPr>
        <w:t>Policy measures and cyber insurance: a framework</w:t>
      </w:r>
      <w:r w:rsidRPr="00312389">
        <w:rPr>
          <w:rFonts w:ascii="Arial" w:hAnsi="Arial" w:cs="Arial"/>
        </w:rPr>
        <w:t>. ​</w:t>
      </w:r>
      <w:r w:rsidRPr="00312389">
        <w:rPr>
          <w:rFonts w:ascii="Arial" w:hAnsi="Arial" w:cs="Arial"/>
          <w:i/>
        </w:rPr>
        <w:t>Journal of Cyber Policy</w:t>
      </w:r>
      <w:r w:rsidRPr="00312389">
        <w:rPr>
          <w:rFonts w:ascii="Arial" w:hAnsi="Arial" w:cs="Arial"/>
        </w:rPr>
        <w:t>​, ​</w:t>
      </w:r>
      <w:r w:rsidRPr="00312389">
        <w:rPr>
          <w:rFonts w:ascii="Arial" w:hAnsi="Arial" w:cs="Arial"/>
          <w:i/>
        </w:rPr>
        <w:t>2</w:t>
      </w:r>
      <w:r w:rsidRPr="00312389">
        <w:rPr>
          <w:rFonts w:ascii="Arial" w:hAnsi="Arial" w:cs="Arial"/>
        </w:rPr>
        <w:t xml:space="preserve">​(2), pp.209-226. </w:t>
      </w:r>
    </w:p>
    <w:p w14:paraId="5DAF9B20" w14:textId="77777777" w:rsidR="00CA4F9D" w:rsidRPr="00312389" w:rsidRDefault="00642D5B" w:rsidP="00D40EBB">
      <w:pPr>
        <w:spacing w:line="480" w:lineRule="auto"/>
        <w:rPr>
          <w:rFonts w:ascii="Arial" w:hAnsi="Arial" w:cs="Arial"/>
        </w:rPr>
      </w:pPr>
      <w:proofErr w:type="spellStart"/>
      <w:r w:rsidRPr="00312389">
        <w:rPr>
          <w:rFonts w:ascii="Arial" w:hAnsi="Arial" w:cs="Arial"/>
        </w:rPr>
        <w:t>Zarvić</w:t>
      </w:r>
      <w:proofErr w:type="spellEnd"/>
      <w:r w:rsidRPr="00312389">
        <w:rPr>
          <w:rFonts w:ascii="Arial" w:hAnsi="Arial" w:cs="Arial"/>
        </w:rPr>
        <w:t xml:space="preserve">, N., </w:t>
      </w:r>
      <w:proofErr w:type="spellStart"/>
      <w:r w:rsidRPr="00312389">
        <w:rPr>
          <w:rFonts w:ascii="Arial" w:hAnsi="Arial" w:cs="Arial"/>
        </w:rPr>
        <w:t>Stolze</w:t>
      </w:r>
      <w:proofErr w:type="spellEnd"/>
      <w:r w:rsidRPr="00312389">
        <w:rPr>
          <w:rFonts w:ascii="Arial" w:hAnsi="Arial" w:cs="Arial"/>
        </w:rPr>
        <w:t>, C., Boehm, M. and Thomas, O.</w:t>
      </w:r>
      <w:r w:rsidR="00B176DB" w:rsidRPr="00312389">
        <w:rPr>
          <w:rFonts w:ascii="Arial" w:hAnsi="Arial" w:cs="Arial"/>
        </w:rPr>
        <w:t xml:space="preserve"> (</w:t>
      </w:r>
      <w:r w:rsidRPr="00312389">
        <w:rPr>
          <w:rFonts w:ascii="Arial" w:hAnsi="Arial" w:cs="Arial"/>
        </w:rPr>
        <w:t>2012</w:t>
      </w:r>
      <w:r w:rsidR="005B3706" w:rsidRPr="00312389">
        <w:rPr>
          <w:rFonts w:ascii="Arial" w:hAnsi="Arial" w:cs="Arial"/>
        </w:rPr>
        <w:t>)</w:t>
      </w:r>
      <w:r w:rsidRPr="00312389">
        <w:rPr>
          <w:rFonts w:ascii="Arial" w:hAnsi="Arial" w:cs="Arial"/>
        </w:rPr>
        <w:t xml:space="preserve">. </w:t>
      </w:r>
      <w:r w:rsidRPr="00D21F91">
        <w:rPr>
          <w:rFonts w:ascii="Arial" w:hAnsi="Arial" w:cs="Arial"/>
          <w:u w:val="single"/>
        </w:rPr>
        <w:t>Dependency-based IT Governance practices in inter-organisational collaborations: A graph-driven elaboration</w:t>
      </w:r>
      <w:r w:rsidRPr="00312389">
        <w:rPr>
          <w:rFonts w:ascii="Arial" w:hAnsi="Arial" w:cs="Arial"/>
        </w:rPr>
        <w:t>. </w:t>
      </w:r>
      <w:r w:rsidRPr="00312389">
        <w:rPr>
          <w:rFonts w:ascii="Arial" w:hAnsi="Arial" w:cs="Arial"/>
          <w:i/>
          <w:iCs/>
        </w:rPr>
        <w:t>International Journal of Information Management</w:t>
      </w:r>
      <w:r w:rsidRPr="00312389">
        <w:rPr>
          <w:rFonts w:ascii="Arial" w:hAnsi="Arial" w:cs="Arial"/>
        </w:rPr>
        <w:t>, </w:t>
      </w:r>
      <w:r w:rsidRPr="00312389">
        <w:rPr>
          <w:rFonts w:ascii="Arial" w:hAnsi="Arial" w:cs="Arial"/>
          <w:i/>
          <w:iCs/>
        </w:rPr>
        <w:t>32</w:t>
      </w:r>
      <w:r w:rsidRPr="00312389">
        <w:rPr>
          <w:rFonts w:ascii="Arial" w:hAnsi="Arial" w:cs="Arial"/>
        </w:rPr>
        <w:t>(6), pp.541-549.</w:t>
      </w:r>
    </w:p>
    <w:p w14:paraId="60EA95EE" w14:textId="01303DA0" w:rsidR="00312389" w:rsidRPr="00312389" w:rsidRDefault="00CA4F9D" w:rsidP="00D40EBB">
      <w:pPr>
        <w:spacing w:line="480" w:lineRule="auto"/>
        <w:rPr>
          <w:rFonts w:ascii="Arial" w:hAnsi="Arial" w:cs="Arial"/>
        </w:rPr>
      </w:pPr>
      <w:r w:rsidRPr="00312389">
        <w:rPr>
          <w:rFonts w:ascii="Arial" w:hAnsi="Arial" w:cs="Arial"/>
        </w:rPr>
        <w:t xml:space="preserve">Zheng, N., Wei, Y., Zhang, Y. and Yang, J. (2016). </w:t>
      </w:r>
      <w:r w:rsidRPr="00D21F91">
        <w:rPr>
          <w:rFonts w:ascii="Arial" w:hAnsi="Arial" w:cs="Arial"/>
          <w:u w:val="single"/>
        </w:rPr>
        <w:t>In search of strategic assets through cross-border merger and acquisitions: Evidence from Chinese multinational enterprises in developed economies</w:t>
      </w:r>
      <w:r w:rsidRPr="00312389">
        <w:rPr>
          <w:rFonts w:ascii="Arial" w:hAnsi="Arial" w:cs="Arial"/>
        </w:rPr>
        <w:t>. ​</w:t>
      </w:r>
      <w:r w:rsidRPr="00312389">
        <w:rPr>
          <w:rFonts w:ascii="Arial" w:hAnsi="Arial" w:cs="Arial"/>
          <w:i/>
        </w:rPr>
        <w:t>International Business Review</w:t>
      </w:r>
      <w:r w:rsidRPr="00312389">
        <w:rPr>
          <w:rFonts w:ascii="Arial" w:hAnsi="Arial" w:cs="Arial"/>
        </w:rPr>
        <w:t>​, ​</w:t>
      </w:r>
      <w:r w:rsidRPr="00312389">
        <w:rPr>
          <w:rFonts w:ascii="Arial" w:hAnsi="Arial" w:cs="Arial"/>
          <w:i/>
        </w:rPr>
        <w:t>25</w:t>
      </w:r>
      <w:r w:rsidRPr="00312389">
        <w:rPr>
          <w:rFonts w:ascii="Arial" w:hAnsi="Arial" w:cs="Arial"/>
        </w:rPr>
        <w:t xml:space="preserve">​(1), pp.177-186. </w:t>
      </w:r>
    </w:p>
    <w:p w14:paraId="3090E5A1" w14:textId="1359B98D" w:rsidR="005C6C89" w:rsidRPr="00312389" w:rsidRDefault="005C6C89" w:rsidP="00D40EBB">
      <w:pPr>
        <w:spacing w:line="480" w:lineRule="auto"/>
        <w:rPr>
          <w:rFonts w:ascii="Arial" w:hAnsi="Arial" w:cs="Arial"/>
          <w:b/>
          <w:szCs w:val="24"/>
        </w:rPr>
      </w:pPr>
      <w:r w:rsidRPr="00312389">
        <w:rPr>
          <w:rFonts w:ascii="Arial" w:hAnsi="Arial" w:cs="Arial"/>
          <w:noProof/>
        </w:rPr>
        <w:lastRenderedPageBreak/>
        <w:drawing>
          <wp:inline distT="0" distB="0" distL="0" distR="0" wp14:anchorId="1D93B9C0" wp14:editId="4749B665">
            <wp:extent cx="5943600" cy="276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inline>
        </w:drawing>
      </w:r>
      <w:r w:rsidRPr="00312389">
        <w:rPr>
          <w:rFonts w:ascii="Arial" w:hAnsi="Arial" w:cs="Arial"/>
          <w:noProof/>
          <w:szCs w:val="24"/>
        </w:rPr>
        <w:drawing>
          <wp:inline distT="0" distB="0" distL="0" distR="0" wp14:anchorId="71E70AA5" wp14:editId="22C99BDC">
            <wp:extent cx="6057459" cy="8112642"/>
            <wp:effectExtent l="0" t="0" r="63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png"/>
                    <pic:cNvPicPr/>
                  </pic:nvPicPr>
                  <pic:blipFill>
                    <a:blip r:embed="rId18">
                      <a:extLst>
                        <a:ext uri="{28A0092B-C50C-407E-A947-70E740481C1C}">
                          <a14:useLocalDpi xmlns:a14="http://schemas.microsoft.com/office/drawing/2010/main" val="0"/>
                        </a:ext>
                      </a:extLst>
                    </a:blip>
                    <a:stretch>
                      <a:fillRect/>
                    </a:stretch>
                  </pic:blipFill>
                  <pic:spPr>
                    <a:xfrm>
                      <a:off x="0" y="0"/>
                      <a:ext cx="6087970" cy="8153505"/>
                    </a:xfrm>
                    <a:prstGeom prst="rect">
                      <a:avLst/>
                    </a:prstGeom>
                  </pic:spPr>
                </pic:pic>
              </a:graphicData>
            </a:graphic>
          </wp:inline>
        </w:drawing>
      </w:r>
    </w:p>
    <w:p w14:paraId="12DD7C3D" w14:textId="77777777" w:rsidR="00923293" w:rsidRPr="00312389" w:rsidRDefault="00923293" w:rsidP="00D40EBB">
      <w:pPr>
        <w:pStyle w:val="AppendixHeading"/>
        <w:numPr>
          <w:ilvl w:val="0"/>
          <w:numId w:val="9"/>
        </w:numPr>
        <w:spacing w:line="480" w:lineRule="auto"/>
        <w:rPr>
          <w:rFonts w:ascii="Arial" w:hAnsi="Arial" w:cs="Arial"/>
        </w:rPr>
      </w:pPr>
      <w:bookmarkStart w:id="54" w:name="_Toc72189400"/>
      <w:r w:rsidRPr="00312389">
        <w:rPr>
          <w:rFonts w:ascii="Arial" w:hAnsi="Arial" w:cs="Arial"/>
        </w:rPr>
        <w:lastRenderedPageBreak/>
        <w:t>Figures and diagrams</w:t>
      </w:r>
      <w:bookmarkEnd w:id="54"/>
    </w:p>
    <w:p w14:paraId="2FFF2468" w14:textId="77777777" w:rsidR="005B4AC8" w:rsidRPr="005B4AC8" w:rsidRDefault="005B4AC8" w:rsidP="005B4AC8">
      <w:pPr>
        <w:spacing w:line="480" w:lineRule="auto"/>
        <w:rPr>
          <w:rFonts w:ascii="Arial" w:hAnsi="Arial" w:cs="Arial"/>
          <w:b/>
          <w:bCs/>
          <w:sz w:val="28"/>
          <w:szCs w:val="28"/>
        </w:rPr>
      </w:pPr>
      <w:r w:rsidRPr="005B4AC8">
        <w:rPr>
          <w:rFonts w:ascii="Arial" w:hAnsi="Arial" w:cs="Arial"/>
          <w:b/>
          <w:bCs/>
          <w:sz w:val="28"/>
          <w:szCs w:val="28"/>
        </w:rPr>
        <w:t>Figure 1.0: Project Plan for the Thesis</w:t>
      </w:r>
    </w:p>
    <w:tbl>
      <w:tblPr>
        <w:tblStyle w:val="TableGrid"/>
        <w:tblW w:w="0" w:type="auto"/>
        <w:tblLook w:val="04A0" w:firstRow="1" w:lastRow="0" w:firstColumn="1" w:lastColumn="0" w:noHBand="0" w:noVBand="1"/>
      </w:tblPr>
      <w:tblGrid>
        <w:gridCol w:w="4323"/>
        <w:gridCol w:w="4409"/>
      </w:tblGrid>
      <w:tr w:rsidR="005B4AC8" w:rsidRPr="005B4AC8" w14:paraId="6C41455F" w14:textId="77777777" w:rsidTr="00174FC7">
        <w:tc>
          <w:tcPr>
            <w:tcW w:w="4508" w:type="dxa"/>
          </w:tcPr>
          <w:p w14:paraId="6A2487F7" w14:textId="77777777" w:rsidR="005B4AC8" w:rsidRPr="005B4AC8" w:rsidRDefault="005B4AC8" w:rsidP="005B4AC8">
            <w:pPr>
              <w:spacing w:after="200" w:line="480" w:lineRule="auto"/>
              <w:rPr>
                <w:rFonts w:ascii="Arial" w:hAnsi="Arial" w:cs="Arial"/>
                <w:b/>
                <w:bCs/>
              </w:rPr>
            </w:pPr>
            <w:r w:rsidRPr="005B4AC8">
              <w:rPr>
                <w:rFonts w:ascii="Arial" w:hAnsi="Arial" w:cs="Arial"/>
                <w:b/>
                <w:bCs/>
              </w:rPr>
              <w:t>Period</w:t>
            </w:r>
          </w:p>
        </w:tc>
        <w:tc>
          <w:tcPr>
            <w:tcW w:w="4508" w:type="dxa"/>
          </w:tcPr>
          <w:p w14:paraId="1680F4EF" w14:textId="77777777" w:rsidR="005B4AC8" w:rsidRPr="005B4AC8" w:rsidRDefault="005B4AC8" w:rsidP="005B4AC8">
            <w:pPr>
              <w:spacing w:after="200" w:line="480" w:lineRule="auto"/>
              <w:rPr>
                <w:rFonts w:ascii="Arial" w:hAnsi="Arial" w:cs="Arial"/>
                <w:b/>
                <w:bCs/>
              </w:rPr>
            </w:pPr>
            <w:r w:rsidRPr="005B4AC8">
              <w:rPr>
                <w:rFonts w:ascii="Arial" w:hAnsi="Arial" w:cs="Arial"/>
                <w:b/>
                <w:bCs/>
              </w:rPr>
              <w:t>Task</w:t>
            </w:r>
          </w:p>
        </w:tc>
      </w:tr>
      <w:tr w:rsidR="005B4AC8" w:rsidRPr="005B4AC8" w14:paraId="2FE29B66" w14:textId="77777777" w:rsidTr="00174FC7">
        <w:tc>
          <w:tcPr>
            <w:tcW w:w="4508" w:type="dxa"/>
          </w:tcPr>
          <w:p w14:paraId="1F0F3178" w14:textId="77777777" w:rsidR="005B4AC8" w:rsidRPr="005B4AC8" w:rsidRDefault="005B4AC8" w:rsidP="005B4AC8">
            <w:pPr>
              <w:spacing w:after="200" w:line="480" w:lineRule="auto"/>
              <w:rPr>
                <w:rFonts w:ascii="Arial" w:hAnsi="Arial" w:cs="Arial"/>
              </w:rPr>
            </w:pPr>
            <w:r w:rsidRPr="005B4AC8">
              <w:rPr>
                <w:rFonts w:ascii="Arial" w:hAnsi="Arial" w:cs="Arial"/>
              </w:rPr>
              <w:t>June – December 2019</w:t>
            </w:r>
          </w:p>
        </w:tc>
        <w:tc>
          <w:tcPr>
            <w:tcW w:w="4508" w:type="dxa"/>
          </w:tcPr>
          <w:p w14:paraId="24E9880F"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Permission from the University</w:t>
            </w:r>
          </w:p>
          <w:p w14:paraId="2E157B85"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 xml:space="preserve">Access to Literatures </w:t>
            </w:r>
          </w:p>
          <w:p w14:paraId="09306F84"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Attempt to identify the main historical periods to ITG and MSGS</w:t>
            </w:r>
          </w:p>
          <w:p w14:paraId="2232D865"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Attempt to identify the Frameworks’ setting against Cyber Policy Development</w:t>
            </w:r>
          </w:p>
          <w:p w14:paraId="13A4726F"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Attempt to identify the Frameworks’ setting in support of Cyber Policy Development</w:t>
            </w:r>
          </w:p>
          <w:p w14:paraId="26C6DAB3"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Survey of theories on ITG, Research Methods and Philosophy</w:t>
            </w:r>
          </w:p>
          <w:p w14:paraId="35C0DEB8"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Survey of platforms with Secondary Data Availability</w:t>
            </w:r>
          </w:p>
          <w:p w14:paraId="432CFC94" w14:textId="77777777" w:rsidR="005B4AC8" w:rsidRPr="005B4AC8" w:rsidRDefault="005B4AC8" w:rsidP="005B4AC8">
            <w:pPr>
              <w:spacing w:after="200" w:line="480" w:lineRule="auto"/>
              <w:rPr>
                <w:rFonts w:ascii="Arial" w:hAnsi="Arial" w:cs="Arial"/>
              </w:rPr>
            </w:pPr>
          </w:p>
        </w:tc>
      </w:tr>
      <w:tr w:rsidR="005B4AC8" w:rsidRPr="005B4AC8" w14:paraId="33B4BBE1" w14:textId="77777777" w:rsidTr="00174FC7">
        <w:tc>
          <w:tcPr>
            <w:tcW w:w="4508" w:type="dxa"/>
          </w:tcPr>
          <w:p w14:paraId="23706588" w14:textId="77777777" w:rsidR="005B4AC8" w:rsidRPr="005B4AC8" w:rsidRDefault="005B4AC8" w:rsidP="005B4AC8">
            <w:pPr>
              <w:spacing w:after="200" w:line="480" w:lineRule="auto"/>
              <w:rPr>
                <w:rFonts w:ascii="Arial" w:hAnsi="Arial" w:cs="Arial"/>
              </w:rPr>
            </w:pPr>
            <w:r w:rsidRPr="005B4AC8">
              <w:rPr>
                <w:rFonts w:ascii="Arial" w:hAnsi="Arial" w:cs="Arial"/>
              </w:rPr>
              <w:lastRenderedPageBreak/>
              <w:t>January to June 2020</w:t>
            </w:r>
          </w:p>
        </w:tc>
        <w:tc>
          <w:tcPr>
            <w:tcW w:w="4508" w:type="dxa"/>
          </w:tcPr>
          <w:p w14:paraId="29F3E534"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Articles and Reports Review</w:t>
            </w:r>
          </w:p>
          <w:p w14:paraId="0CACCAB8"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Gathering of Secondary Data</w:t>
            </w:r>
          </w:p>
          <w:p w14:paraId="5BE9AB9D"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 xml:space="preserve">Non-Statistical Analysis of Data </w:t>
            </w:r>
          </w:p>
          <w:p w14:paraId="2E699DC6"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Document Analysis</w:t>
            </w:r>
          </w:p>
          <w:p w14:paraId="24D67273"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Identify the key linkages between ITG and MSGS</w:t>
            </w:r>
          </w:p>
          <w:p w14:paraId="51F15E1F"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Complete Document Analysis</w:t>
            </w:r>
          </w:p>
        </w:tc>
      </w:tr>
      <w:tr w:rsidR="005B4AC8" w:rsidRPr="005B4AC8" w14:paraId="34DC625E" w14:textId="77777777" w:rsidTr="00174FC7">
        <w:tc>
          <w:tcPr>
            <w:tcW w:w="4508" w:type="dxa"/>
          </w:tcPr>
          <w:p w14:paraId="379880CE" w14:textId="77777777" w:rsidR="005B4AC8" w:rsidRPr="005B4AC8" w:rsidRDefault="005B4AC8" w:rsidP="005B4AC8">
            <w:pPr>
              <w:spacing w:after="200" w:line="480" w:lineRule="auto"/>
              <w:rPr>
                <w:rFonts w:ascii="Arial" w:hAnsi="Arial" w:cs="Arial"/>
              </w:rPr>
            </w:pPr>
            <w:r w:rsidRPr="005B4AC8">
              <w:rPr>
                <w:rFonts w:ascii="Arial" w:hAnsi="Arial" w:cs="Arial"/>
              </w:rPr>
              <w:t>July – December 2020</w:t>
            </w:r>
          </w:p>
        </w:tc>
        <w:tc>
          <w:tcPr>
            <w:tcW w:w="4508" w:type="dxa"/>
          </w:tcPr>
          <w:p w14:paraId="70921F0C"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Commencing Transcription of Data</w:t>
            </w:r>
          </w:p>
          <w:p w14:paraId="30BE02C0"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Completion of Data Transcriptions</w:t>
            </w:r>
          </w:p>
          <w:p w14:paraId="047C4F1A"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Draft of Analysis Chapter</w:t>
            </w:r>
          </w:p>
          <w:p w14:paraId="2FF359A2"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Draft of Theory Chapter</w:t>
            </w:r>
          </w:p>
          <w:p w14:paraId="25C276BE"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Develop Models and identify Themes</w:t>
            </w:r>
          </w:p>
          <w:p w14:paraId="3052172A"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Relate Themes from Secondary Data to Documentary Data</w:t>
            </w:r>
          </w:p>
          <w:p w14:paraId="584F6C51"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 xml:space="preserve">Draft of Correlation, Implications, and Conclusion in </w:t>
            </w:r>
            <w:r w:rsidRPr="005B4AC8">
              <w:rPr>
                <w:rFonts w:ascii="Arial" w:hAnsi="Arial" w:cs="Arial"/>
              </w:rPr>
              <w:lastRenderedPageBreak/>
              <w:t>terms of Documentary Analysis Outcomes</w:t>
            </w:r>
          </w:p>
          <w:p w14:paraId="79FB32E5"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Draft Recommendation Chapter</w:t>
            </w:r>
          </w:p>
        </w:tc>
      </w:tr>
      <w:tr w:rsidR="005B4AC8" w:rsidRPr="005B4AC8" w14:paraId="4CF3EA20" w14:textId="77777777" w:rsidTr="00174FC7">
        <w:tc>
          <w:tcPr>
            <w:tcW w:w="4508" w:type="dxa"/>
          </w:tcPr>
          <w:p w14:paraId="05B68EA3" w14:textId="77777777" w:rsidR="005B4AC8" w:rsidRPr="005B4AC8" w:rsidRDefault="005B4AC8" w:rsidP="005B4AC8">
            <w:pPr>
              <w:spacing w:after="200" w:line="480" w:lineRule="auto"/>
              <w:rPr>
                <w:rFonts w:ascii="Arial" w:hAnsi="Arial" w:cs="Arial"/>
              </w:rPr>
            </w:pPr>
            <w:r w:rsidRPr="005B4AC8">
              <w:rPr>
                <w:rFonts w:ascii="Arial" w:hAnsi="Arial" w:cs="Arial"/>
              </w:rPr>
              <w:lastRenderedPageBreak/>
              <w:t>January – May 2021</w:t>
            </w:r>
          </w:p>
        </w:tc>
        <w:tc>
          <w:tcPr>
            <w:tcW w:w="4508" w:type="dxa"/>
          </w:tcPr>
          <w:p w14:paraId="478AB890"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Revise first three Chapters: Rationale, Literature Review, Research Methods, and Research Strategy and Design</w:t>
            </w:r>
          </w:p>
          <w:p w14:paraId="2FD752BE"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Revise Analysis, Theory and Recommendation Chapters</w:t>
            </w:r>
          </w:p>
          <w:p w14:paraId="728E021C" w14:textId="77777777" w:rsidR="005B4AC8" w:rsidRPr="005B4AC8" w:rsidRDefault="005B4AC8" w:rsidP="005B4AC8">
            <w:pPr>
              <w:numPr>
                <w:ilvl w:val="0"/>
                <w:numId w:val="23"/>
              </w:numPr>
              <w:spacing w:after="200" w:line="480" w:lineRule="auto"/>
              <w:rPr>
                <w:rFonts w:ascii="Arial" w:hAnsi="Arial" w:cs="Arial"/>
              </w:rPr>
            </w:pPr>
            <w:r w:rsidRPr="005B4AC8">
              <w:rPr>
                <w:rFonts w:ascii="Arial" w:hAnsi="Arial" w:cs="Arial"/>
              </w:rPr>
              <w:t>Revise for final submission of Thesis</w:t>
            </w:r>
          </w:p>
        </w:tc>
      </w:tr>
    </w:tbl>
    <w:p w14:paraId="1C38FC19" w14:textId="62284B03" w:rsidR="009D1555" w:rsidRPr="00312389" w:rsidRDefault="009D1555" w:rsidP="00D40EBB">
      <w:pPr>
        <w:spacing w:line="480" w:lineRule="auto"/>
        <w:rPr>
          <w:rFonts w:ascii="Arial" w:hAnsi="Arial" w:cs="Arial"/>
        </w:rPr>
      </w:pPr>
    </w:p>
    <w:p w14:paraId="103FF8E2" w14:textId="5A4842FB" w:rsidR="00BE4235" w:rsidRDefault="00774683" w:rsidP="00D40EBB">
      <w:pPr>
        <w:spacing w:line="480" w:lineRule="auto"/>
        <w:jc w:val="both"/>
      </w:pPr>
      <w:r w:rsidRPr="00312389">
        <w:rPr>
          <w:rFonts w:ascii="Arial" w:hAnsi="Arial" w:cs="Arial"/>
          <w:noProof/>
          <w:szCs w:val="24"/>
        </w:rPr>
        <w:lastRenderedPageBreak/>
        <w:drawing>
          <wp:inline distT="0" distB="0" distL="0" distR="0" wp14:anchorId="6C16DB6A" wp14:editId="3200CE63">
            <wp:extent cx="5656521" cy="8739505"/>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3741" cy="8766110"/>
                    </a:xfrm>
                    <a:prstGeom prst="rect">
                      <a:avLst/>
                    </a:prstGeom>
                    <a:noFill/>
                  </pic:spPr>
                </pic:pic>
              </a:graphicData>
            </a:graphic>
          </wp:inline>
        </w:drawing>
      </w:r>
      <w:r w:rsidR="0061633B" w:rsidRPr="0061633B">
        <w:rPr>
          <w:noProof/>
        </w:rPr>
        <w:lastRenderedPageBreak/>
        <w:drawing>
          <wp:inline distT="0" distB="0" distL="0" distR="0" wp14:anchorId="2064FBFD" wp14:editId="60AEEBB0">
            <wp:extent cx="6019800" cy="8947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2606" cy="8966696"/>
                    </a:xfrm>
                    <a:prstGeom prst="rect">
                      <a:avLst/>
                    </a:prstGeom>
                    <a:noFill/>
                    <a:ln>
                      <a:noFill/>
                    </a:ln>
                  </pic:spPr>
                </pic:pic>
              </a:graphicData>
            </a:graphic>
          </wp:inline>
        </w:drawing>
      </w:r>
    </w:p>
    <w:p w14:paraId="4D7C43A3" w14:textId="46EAEE36" w:rsidR="00131138" w:rsidRDefault="00131138" w:rsidP="00D40EBB">
      <w:pPr>
        <w:spacing w:line="480" w:lineRule="auto"/>
        <w:jc w:val="both"/>
        <w:rPr>
          <w:rStyle w:val="normaltextrun"/>
          <w:rFonts w:ascii="Calibri" w:hAnsi="Calibri" w:cs="Calibri"/>
          <w:b/>
          <w:bCs/>
          <w:color w:val="365F91"/>
          <w:sz w:val="48"/>
          <w:szCs w:val="48"/>
          <w:bdr w:val="none" w:sz="0" w:space="0" w:color="auto" w:frame="1"/>
        </w:rPr>
      </w:pPr>
      <w:r>
        <w:rPr>
          <w:rStyle w:val="normaltextrun"/>
          <w:rFonts w:ascii="Calibri" w:hAnsi="Calibri" w:cs="Calibri"/>
          <w:b/>
          <w:bCs/>
          <w:color w:val="365F91"/>
          <w:sz w:val="48"/>
          <w:szCs w:val="48"/>
          <w:bdr w:val="none" w:sz="0" w:space="0" w:color="auto" w:frame="1"/>
        </w:rPr>
        <w:lastRenderedPageBreak/>
        <w:t>Abbreviations</w:t>
      </w:r>
    </w:p>
    <w:p w14:paraId="3DC15ADE" w14:textId="657EEC69" w:rsidR="00131138" w:rsidRDefault="00AE258D" w:rsidP="00D40EBB">
      <w:pPr>
        <w:spacing w:line="480" w:lineRule="auto"/>
        <w:jc w:val="both"/>
        <w:rPr>
          <w:rFonts w:ascii="Calibri" w:hAnsi="Calibri" w:cs="Calibri"/>
          <w:b/>
          <w:bCs/>
          <w:color w:val="365F91"/>
          <w:sz w:val="48"/>
          <w:szCs w:val="48"/>
          <w:bdr w:val="none" w:sz="0" w:space="0" w:color="auto" w:frame="1"/>
        </w:rPr>
      </w:pPr>
      <w:r>
        <w:rPr>
          <w:rFonts w:ascii="Calibri" w:hAnsi="Calibri" w:cs="Calibri"/>
          <w:b/>
          <w:bCs/>
          <w:noProof/>
          <w:color w:val="365F91"/>
          <w:sz w:val="48"/>
          <w:szCs w:val="48"/>
          <w:bdr w:val="none" w:sz="0" w:space="0" w:color="auto" w:frame="1"/>
        </w:rPr>
        <w:drawing>
          <wp:inline distT="0" distB="0" distL="0" distR="0" wp14:anchorId="437F1C0B" wp14:editId="5580ED12">
            <wp:extent cx="5858540" cy="7920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672" cy="7933337"/>
                    </a:xfrm>
                    <a:prstGeom prst="rect">
                      <a:avLst/>
                    </a:prstGeom>
                    <a:noFill/>
                    <a:ln>
                      <a:noFill/>
                    </a:ln>
                  </pic:spPr>
                </pic:pic>
              </a:graphicData>
            </a:graphic>
          </wp:inline>
        </w:drawing>
      </w:r>
    </w:p>
    <w:p w14:paraId="51405AD3" w14:textId="5BE7F737" w:rsidR="001E6C8B" w:rsidRDefault="001E6C8B" w:rsidP="00D40EBB">
      <w:pPr>
        <w:spacing w:line="480" w:lineRule="auto"/>
        <w:jc w:val="both"/>
        <w:rPr>
          <w:rFonts w:ascii="Calibri" w:hAnsi="Calibri" w:cs="Calibri"/>
          <w:b/>
          <w:bCs/>
          <w:color w:val="365F91"/>
          <w:sz w:val="48"/>
          <w:szCs w:val="48"/>
          <w:bdr w:val="none" w:sz="0" w:space="0" w:color="auto" w:frame="1"/>
        </w:rPr>
      </w:pPr>
      <w:r>
        <w:rPr>
          <w:rStyle w:val="normaltextrun"/>
          <w:rFonts w:ascii="Cambria" w:hAnsi="Cambria"/>
          <w:b/>
          <w:bCs/>
          <w:color w:val="000000"/>
          <w:shd w:val="clear" w:color="auto" w:fill="FFFFFF"/>
        </w:rPr>
        <w:lastRenderedPageBreak/>
        <w:t>ITIL</w:t>
      </w:r>
      <w:r>
        <w:rPr>
          <w:rStyle w:val="tabchar"/>
          <w:rFonts w:ascii="Calibri" w:hAnsi="Calibri" w:cs="Calibri"/>
          <w:color w:val="000000"/>
          <w:shd w:val="clear" w:color="auto" w:fill="FFFFFF"/>
        </w:rPr>
        <w:t xml:space="preserve"> </w:t>
      </w:r>
      <w:r w:rsidR="00815AB4">
        <w:rPr>
          <w:rStyle w:val="tabchar"/>
          <w:rFonts w:ascii="Calibri" w:hAnsi="Calibri" w:cs="Calibri"/>
          <w:color w:val="000000"/>
          <w:shd w:val="clear" w:color="auto" w:fill="FFFFFF"/>
        </w:rPr>
        <w:tab/>
      </w:r>
      <w:r w:rsidR="00815AB4">
        <w:rPr>
          <w:rStyle w:val="tabchar"/>
          <w:rFonts w:ascii="Calibri" w:hAnsi="Calibri" w:cs="Calibri"/>
          <w:color w:val="000000"/>
          <w:shd w:val="clear" w:color="auto" w:fill="FFFFFF"/>
        </w:rPr>
        <w:tab/>
      </w:r>
      <w:r>
        <w:rPr>
          <w:rStyle w:val="normaltextrun"/>
          <w:rFonts w:ascii="Cambria" w:hAnsi="Cambria"/>
          <w:color w:val="000000"/>
          <w:shd w:val="clear" w:color="auto" w:fill="FFFFFF"/>
        </w:rPr>
        <w:t>formerly an acronym for IT Infrastructure Library</w:t>
      </w:r>
    </w:p>
    <w:p w14:paraId="34C50D0A" w14:textId="0189DE20" w:rsidR="00AE258D" w:rsidRPr="00131138" w:rsidRDefault="00935442" w:rsidP="00D40EBB">
      <w:pPr>
        <w:spacing w:line="480" w:lineRule="auto"/>
        <w:jc w:val="both"/>
        <w:rPr>
          <w:rFonts w:ascii="Calibri" w:hAnsi="Calibri" w:cs="Calibri"/>
          <w:b/>
          <w:bCs/>
          <w:color w:val="365F91"/>
          <w:sz w:val="48"/>
          <w:szCs w:val="48"/>
          <w:bdr w:val="none" w:sz="0" w:space="0" w:color="auto" w:frame="1"/>
        </w:rPr>
      </w:pPr>
      <w:r>
        <w:rPr>
          <w:rFonts w:ascii="Calibri" w:hAnsi="Calibri" w:cs="Calibri"/>
          <w:b/>
          <w:bCs/>
          <w:noProof/>
          <w:color w:val="365F91"/>
          <w:sz w:val="48"/>
          <w:szCs w:val="48"/>
          <w:bdr w:val="none" w:sz="0" w:space="0" w:color="auto" w:frame="1"/>
        </w:rPr>
        <w:drawing>
          <wp:inline distT="0" distB="0" distL="0" distR="0" wp14:anchorId="211B2D6C" wp14:editId="798484D3">
            <wp:extent cx="5549900" cy="5135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1504" cy="5137009"/>
                    </a:xfrm>
                    <a:prstGeom prst="rect">
                      <a:avLst/>
                    </a:prstGeom>
                    <a:noFill/>
                    <a:ln>
                      <a:noFill/>
                    </a:ln>
                  </pic:spPr>
                </pic:pic>
              </a:graphicData>
            </a:graphic>
          </wp:inline>
        </w:drawing>
      </w:r>
    </w:p>
    <w:sectPr w:rsidR="00AE258D" w:rsidRPr="00131138" w:rsidSect="00965991">
      <w:footerReference w:type="default" r:id="rId23"/>
      <w:pgSz w:w="11906" w:h="16838" w:code="9"/>
      <w:pgMar w:top="1440" w:right="1440" w:bottom="1440" w:left="1440" w:header="709" w:footer="709" w:gutter="28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4742B" w14:textId="77777777" w:rsidR="002B3340" w:rsidRDefault="002B3340" w:rsidP="00965991">
      <w:pPr>
        <w:spacing w:after="0" w:line="240" w:lineRule="auto"/>
      </w:pPr>
      <w:r>
        <w:separator/>
      </w:r>
    </w:p>
  </w:endnote>
  <w:endnote w:type="continuationSeparator" w:id="0">
    <w:p w14:paraId="55FB2BB5" w14:textId="77777777" w:rsidR="002B3340" w:rsidRDefault="002B3340" w:rsidP="00965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1025"/>
      <w:docPartObj>
        <w:docPartGallery w:val="Page Numbers (Bottom of Page)"/>
        <w:docPartUnique/>
      </w:docPartObj>
    </w:sdtPr>
    <w:sdtEndPr/>
    <w:sdtContent>
      <w:p w14:paraId="32968F02" w14:textId="77777777" w:rsidR="00E90B7A" w:rsidRDefault="00E90B7A">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54F905EF" w14:textId="77777777" w:rsidR="00E90B7A" w:rsidRDefault="00E9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353FC" w14:textId="77777777" w:rsidR="002B3340" w:rsidRDefault="002B3340" w:rsidP="00965991">
      <w:pPr>
        <w:spacing w:after="0" w:line="240" w:lineRule="auto"/>
      </w:pPr>
      <w:r>
        <w:separator/>
      </w:r>
    </w:p>
  </w:footnote>
  <w:footnote w:type="continuationSeparator" w:id="0">
    <w:p w14:paraId="4944C1D4" w14:textId="77777777" w:rsidR="002B3340" w:rsidRDefault="002B3340" w:rsidP="009659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6A8"/>
    <w:multiLevelType w:val="hybridMultilevel"/>
    <w:tmpl w:val="1D8A8914"/>
    <w:lvl w:ilvl="0" w:tplc="AD808F5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C2922"/>
    <w:multiLevelType w:val="hybridMultilevel"/>
    <w:tmpl w:val="56382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C43718"/>
    <w:multiLevelType w:val="hybridMultilevel"/>
    <w:tmpl w:val="925AF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223D96"/>
    <w:multiLevelType w:val="multilevel"/>
    <w:tmpl w:val="D43A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CB6213"/>
    <w:multiLevelType w:val="hybridMultilevel"/>
    <w:tmpl w:val="C55E3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952FE6"/>
    <w:multiLevelType w:val="hybridMultilevel"/>
    <w:tmpl w:val="96E66B72"/>
    <w:lvl w:ilvl="0" w:tplc="B776C754">
      <w:start w:val="1"/>
      <w:numFmt w:val="upperLetter"/>
      <w:lvlText w:val="Appendix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B7A32FE"/>
    <w:multiLevelType w:val="hybridMultilevel"/>
    <w:tmpl w:val="C0144868"/>
    <w:lvl w:ilvl="0" w:tplc="37DEAD8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744964"/>
    <w:multiLevelType w:val="hybridMultilevel"/>
    <w:tmpl w:val="45AEA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EA63E3"/>
    <w:multiLevelType w:val="hybridMultilevel"/>
    <w:tmpl w:val="90884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7620D8"/>
    <w:multiLevelType w:val="multilevel"/>
    <w:tmpl w:val="5FB2C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3E6545"/>
    <w:multiLevelType w:val="hybridMultilevel"/>
    <w:tmpl w:val="150CF4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910B08"/>
    <w:multiLevelType w:val="hybridMultilevel"/>
    <w:tmpl w:val="DAEA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7D1A29"/>
    <w:multiLevelType w:val="hybridMultilevel"/>
    <w:tmpl w:val="95F0A398"/>
    <w:lvl w:ilvl="0" w:tplc="37DEAD8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8C6F68"/>
    <w:multiLevelType w:val="hybridMultilevel"/>
    <w:tmpl w:val="5B22882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3AD245F"/>
    <w:multiLevelType w:val="hybridMultilevel"/>
    <w:tmpl w:val="13527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967527"/>
    <w:multiLevelType w:val="hybridMultilevel"/>
    <w:tmpl w:val="27D0CCE8"/>
    <w:lvl w:ilvl="0" w:tplc="08090015">
      <w:start w:val="1"/>
      <w:numFmt w:val="upperLetter"/>
      <w:lvlText w:val="Appendix %1."/>
      <w:lvlJc w:val="left"/>
      <w:pPr>
        <w:ind w:left="720" w:hanging="360"/>
      </w:pPr>
      <w:rPr>
        <w:b w:val="0"/>
        <w:bCs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4045D6"/>
    <w:multiLevelType w:val="hybridMultilevel"/>
    <w:tmpl w:val="C55E3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A473EB"/>
    <w:multiLevelType w:val="multilevel"/>
    <w:tmpl w:val="A58C9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B27A76"/>
    <w:multiLevelType w:val="hybridMultilevel"/>
    <w:tmpl w:val="B65E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EE0D0B"/>
    <w:multiLevelType w:val="hybridMultilevel"/>
    <w:tmpl w:val="5FA22B78"/>
    <w:lvl w:ilvl="0" w:tplc="B776C754">
      <w:start w:val="1"/>
      <w:numFmt w:val="upperLetter"/>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010C8C"/>
    <w:multiLevelType w:val="multilevel"/>
    <w:tmpl w:val="663EDB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F332B79"/>
    <w:multiLevelType w:val="multilevel"/>
    <w:tmpl w:val="0FACB03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0"/>
  </w:num>
  <w:num w:numId="3">
    <w:abstractNumId w:val="1"/>
  </w:num>
  <w:num w:numId="4">
    <w:abstractNumId w:val="15"/>
  </w:num>
  <w:num w:numId="5">
    <w:abstractNumId w:val="11"/>
  </w:num>
  <w:num w:numId="6">
    <w:abstractNumId w:val="13"/>
  </w:num>
  <w:num w:numId="7">
    <w:abstractNumId w:val="15"/>
    <w:lvlOverride w:ilvl="0">
      <w:startOverride w:val="1"/>
    </w:lvlOverride>
  </w:num>
  <w:num w:numId="8">
    <w:abstractNumId w:val="5"/>
  </w:num>
  <w:num w:numId="9">
    <w:abstractNumId w:val="19"/>
  </w:num>
  <w:num w:numId="10">
    <w:abstractNumId w:val="9"/>
  </w:num>
  <w:num w:numId="11">
    <w:abstractNumId w:val="20"/>
    <w:lvlOverride w:ilvl="0">
      <w:startOverride w:val="3"/>
    </w:lvlOverride>
    <w:lvlOverride w:ilvl="1">
      <w:startOverride w:val="5"/>
    </w:lvlOverride>
  </w:num>
  <w:num w:numId="12">
    <w:abstractNumId w:val="21"/>
  </w:num>
  <w:num w:numId="13">
    <w:abstractNumId w:val="3"/>
  </w:num>
  <w:num w:numId="14">
    <w:abstractNumId w:val="2"/>
  </w:num>
  <w:num w:numId="15">
    <w:abstractNumId w:val="10"/>
  </w:num>
  <w:num w:numId="16">
    <w:abstractNumId w:val="18"/>
  </w:num>
  <w:num w:numId="17">
    <w:abstractNumId w:val="6"/>
  </w:num>
  <w:num w:numId="18">
    <w:abstractNumId w:val="12"/>
  </w:num>
  <w:num w:numId="19">
    <w:abstractNumId w:val="8"/>
  </w:num>
  <w:num w:numId="20">
    <w:abstractNumId w:val="16"/>
  </w:num>
  <w:num w:numId="21">
    <w:abstractNumId w:val="14"/>
  </w:num>
  <w:num w:numId="22">
    <w:abstractNumId w:val="4"/>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34C"/>
    <w:rsid w:val="00000897"/>
    <w:rsid w:val="000027CA"/>
    <w:rsid w:val="000033AC"/>
    <w:rsid w:val="00004685"/>
    <w:rsid w:val="00007B71"/>
    <w:rsid w:val="00007D21"/>
    <w:rsid w:val="00011CF6"/>
    <w:rsid w:val="00012844"/>
    <w:rsid w:val="000147EE"/>
    <w:rsid w:val="00014AF8"/>
    <w:rsid w:val="00016469"/>
    <w:rsid w:val="00016477"/>
    <w:rsid w:val="00016983"/>
    <w:rsid w:val="0001751E"/>
    <w:rsid w:val="0002305E"/>
    <w:rsid w:val="000234F8"/>
    <w:rsid w:val="00023696"/>
    <w:rsid w:val="00024318"/>
    <w:rsid w:val="00025B97"/>
    <w:rsid w:val="000335C5"/>
    <w:rsid w:val="0003569A"/>
    <w:rsid w:val="000362B1"/>
    <w:rsid w:val="0004212E"/>
    <w:rsid w:val="00042827"/>
    <w:rsid w:val="00043CF5"/>
    <w:rsid w:val="00045A1B"/>
    <w:rsid w:val="00045CB6"/>
    <w:rsid w:val="00054C8B"/>
    <w:rsid w:val="00054CB7"/>
    <w:rsid w:val="00055B23"/>
    <w:rsid w:val="00057C87"/>
    <w:rsid w:val="0006223A"/>
    <w:rsid w:val="000628C9"/>
    <w:rsid w:val="0006337B"/>
    <w:rsid w:val="0006405F"/>
    <w:rsid w:val="00064CDC"/>
    <w:rsid w:val="00070756"/>
    <w:rsid w:val="00075AC1"/>
    <w:rsid w:val="00077931"/>
    <w:rsid w:val="00081006"/>
    <w:rsid w:val="00086B10"/>
    <w:rsid w:val="0008798A"/>
    <w:rsid w:val="00087AED"/>
    <w:rsid w:val="00087BE5"/>
    <w:rsid w:val="00093BE2"/>
    <w:rsid w:val="000947AC"/>
    <w:rsid w:val="00095885"/>
    <w:rsid w:val="00096A36"/>
    <w:rsid w:val="00096F90"/>
    <w:rsid w:val="00097917"/>
    <w:rsid w:val="000A2D25"/>
    <w:rsid w:val="000A35A0"/>
    <w:rsid w:val="000A3B97"/>
    <w:rsid w:val="000A4194"/>
    <w:rsid w:val="000A4875"/>
    <w:rsid w:val="000B0324"/>
    <w:rsid w:val="000B2662"/>
    <w:rsid w:val="000C0A8F"/>
    <w:rsid w:val="000C2F6E"/>
    <w:rsid w:val="000C51E1"/>
    <w:rsid w:val="000C64DC"/>
    <w:rsid w:val="000C799C"/>
    <w:rsid w:val="000D002B"/>
    <w:rsid w:val="000D5E2D"/>
    <w:rsid w:val="000E03A1"/>
    <w:rsid w:val="000E4825"/>
    <w:rsid w:val="000E5C54"/>
    <w:rsid w:val="000F1817"/>
    <w:rsid w:val="000F26BF"/>
    <w:rsid w:val="000F544B"/>
    <w:rsid w:val="000F572C"/>
    <w:rsid w:val="000F5B7D"/>
    <w:rsid w:val="000F6A94"/>
    <w:rsid w:val="00106F2C"/>
    <w:rsid w:val="00110BFE"/>
    <w:rsid w:val="00110DE3"/>
    <w:rsid w:val="0011196B"/>
    <w:rsid w:val="00115837"/>
    <w:rsid w:val="00115CBF"/>
    <w:rsid w:val="00117707"/>
    <w:rsid w:val="00122219"/>
    <w:rsid w:val="00125663"/>
    <w:rsid w:val="00131138"/>
    <w:rsid w:val="00134891"/>
    <w:rsid w:val="00140409"/>
    <w:rsid w:val="00144A23"/>
    <w:rsid w:val="0015563E"/>
    <w:rsid w:val="00155717"/>
    <w:rsid w:val="00160DB1"/>
    <w:rsid w:val="001661C4"/>
    <w:rsid w:val="00167165"/>
    <w:rsid w:val="00170040"/>
    <w:rsid w:val="00172704"/>
    <w:rsid w:val="001733E5"/>
    <w:rsid w:val="00174A2E"/>
    <w:rsid w:val="00174AF7"/>
    <w:rsid w:val="0018191F"/>
    <w:rsid w:val="00181DBE"/>
    <w:rsid w:val="00183FF3"/>
    <w:rsid w:val="00187D99"/>
    <w:rsid w:val="00192C3E"/>
    <w:rsid w:val="00195EA7"/>
    <w:rsid w:val="001A0020"/>
    <w:rsid w:val="001A24B2"/>
    <w:rsid w:val="001A357D"/>
    <w:rsid w:val="001B0CB6"/>
    <w:rsid w:val="001B1590"/>
    <w:rsid w:val="001B3C6D"/>
    <w:rsid w:val="001C3FA2"/>
    <w:rsid w:val="001C47D7"/>
    <w:rsid w:val="001C5572"/>
    <w:rsid w:val="001C5EF1"/>
    <w:rsid w:val="001D011B"/>
    <w:rsid w:val="001D1237"/>
    <w:rsid w:val="001D1F44"/>
    <w:rsid w:val="001D27DB"/>
    <w:rsid w:val="001D2BE4"/>
    <w:rsid w:val="001D3C43"/>
    <w:rsid w:val="001D3ED2"/>
    <w:rsid w:val="001D44E4"/>
    <w:rsid w:val="001D789C"/>
    <w:rsid w:val="001E19D0"/>
    <w:rsid w:val="001E3018"/>
    <w:rsid w:val="001E447A"/>
    <w:rsid w:val="001E6A87"/>
    <w:rsid w:val="001E6C8B"/>
    <w:rsid w:val="001F3441"/>
    <w:rsid w:val="00200CD8"/>
    <w:rsid w:val="00201AA1"/>
    <w:rsid w:val="0020394F"/>
    <w:rsid w:val="00206D68"/>
    <w:rsid w:val="00213F69"/>
    <w:rsid w:val="0021445D"/>
    <w:rsid w:val="0021527D"/>
    <w:rsid w:val="00215929"/>
    <w:rsid w:val="00221CF2"/>
    <w:rsid w:val="00223BE4"/>
    <w:rsid w:val="00224B00"/>
    <w:rsid w:val="00230522"/>
    <w:rsid w:val="0023217B"/>
    <w:rsid w:val="00234D66"/>
    <w:rsid w:val="002378DB"/>
    <w:rsid w:val="00237C6A"/>
    <w:rsid w:val="002412A9"/>
    <w:rsid w:val="00244F30"/>
    <w:rsid w:val="00247698"/>
    <w:rsid w:val="00250077"/>
    <w:rsid w:val="002517B2"/>
    <w:rsid w:val="00251E47"/>
    <w:rsid w:val="00252242"/>
    <w:rsid w:val="00256026"/>
    <w:rsid w:val="00256A51"/>
    <w:rsid w:val="00260143"/>
    <w:rsid w:val="002603FE"/>
    <w:rsid w:val="00262DF6"/>
    <w:rsid w:val="00263858"/>
    <w:rsid w:val="0027034D"/>
    <w:rsid w:val="00271683"/>
    <w:rsid w:val="002721E5"/>
    <w:rsid w:val="00274772"/>
    <w:rsid w:val="002757EC"/>
    <w:rsid w:val="0027589B"/>
    <w:rsid w:val="00276C58"/>
    <w:rsid w:val="00283C1A"/>
    <w:rsid w:val="0028438D"/>
    <w:rsid w:val="00285DDD"/>
    <w:rsid w:val="00285F52"/>
    <w:rsid w:val="0028608C"/>
    <w:rsid w:val="00286F48"/>
    <w:rsid w:val="00290924"/>
    <w:rsid w:val="00292D26"/>
    <w:rsid w:val="00296010"/>
    <w:rsid w:val="0029786B"/>
    <w:rsid w:val="002A1955"/>
    <w:rsid w:val="002A1DBC"/>
    <w:rsid w:val="002A44C0"/>
    <w:rsid w:val="002A6410"/>
    <w:rsid w:val="002A6A65"/>
    <w:rsid w:val="002A760E"/>
    <w:rsid w:val="002B2B9E"/>
    <w:rsid w:val="002B3340"/>
    <w:rsid w:val="002B5BA7"/>
    <w:rsid w:val="002B66DF"/>
    <w:rsid w:val="002B6BB1"/>
    <w:rsid w:val="002C0681"/>
    <w:rsid w:val="002C13F2"/>
    <w:rsid w:val="002C2257"/>
    <w:rsid w:val="002C23DF"/>
    <w:rsid w:val="002C246B"/>
    <w:rsid w:val="002C362C"/>
    <w:rsid w:val="002C69F9"/>
    <w:rsid w:val="002D0E2B"/>
    <w:rsid w:val="002D47AA"/>
    <w:rsid w:val="002E0C31"/>
    <w:rsid w:val="002E12B4"/>
    <w:rsid w:val="002E1DD5"/>
    <w:rsid w:val="002E234C"/>
    <w:rsid w:val="002E54C9"/>
    <w:rsid w:val="00301B4E"/>
    <w:rsid w:val="003040CE"/>
    <w:rsid w:val="00305F6E"/>
    <w:rsid w:val="0031087A"/>
    <w:rsid w:val="00312389"/>
    <w:rsid w:val="00314D95"/>
    <w:rsid w:val="00315710"/>
    <w:rsid w:val="00317970"/>
    <w:rsid w:val="003250BB"/>
    <w:rsid w:val="00332837"/>
    <w:rsid w:val="003336EC"/>
    <w:rsid w:val="00343636"/>
    <w:rsid w:val="00346B88"/>
    <w:rsid w:val="00350222"/>
    <w:rsid w:val="00351001"/>
    <w:rsid w:val="00354FB4"/>
    <w:rsid w:val="003603DD"/>
    <w:rsid w:val="003639EF"/>
    <w:rsid w:val="00367B27"/>
    <w:rsid w:val="00367CE0"/>
    <w:rsid w:val="003740D1"/>
    <w:rsid w:val="00374C77"/>
    <w:rsid w:val="00377099"/>
    <w:rsid w:val="00381529"/>
    <w:rsid w:val="00384619"/>
    <w:rsid w:val="00387A4F"/>
    <w:rsid w:val="003904DF"/>
    <w:rsid w:val="00391A3B"/>
    <w:rsid w:val="00396CFF"/>
    <w:rsid w:val="003A2D46"/>
    <w:rsid w:val="003A2F2E"/>
    <w:rsid w:val="003A435A"/>
    <w:rsid w:val="003A69E8"/>
    <w:rsid w:val="003A7065"/>
    <w:rsid w:val="003B02EA"/>
    <w:rsid w:val="003C0992"/>
    <w:rsid w:val="003C4000"/>
    <w:rsid w:val="003C446A"/>
    <w:rsid w:val="003D1764"/>
    <w:rsid w:val="003D5CC5"/>
    <w:rsid w:val="003D7C84"/>
    <w:rsid w:val="003E11BD"/>
    <w:rsid w:val="003E1351"/>
    <w:rsid w:val="003E1467"/>
    <w:rsid w:val="003E1E78"/>
    <w:rsid w:val="003E7545"/>
    <w:rsid w:val="00402AC1"/>
    <w:rsid w:val="00402EA3"/>
    <w:rsid w:val="00403284"/>
    <w:rsid w:val="0040626B"/>
    <w:rsid w:val="004071D8"/>
    <w:rsid w:val="00407495"/>
    <w:rsid w:val="0041188C"/>
    <w:rsid w:val="00421B65"/>
    <w:rsid w:val="00421EE2"/>
    <w:rsid w:val="00423D45"/>
    <w:rsid w:val="0043094D"/>
    <w:rsid w:val="004332FE"/>
    <w:rsid w:val="00433683"/>
    <w:rsid w:val="0044152B"/>
    <w:rsid w:val="00441FC1"/>
    <w:rsid w:val="0045042F"/>
    <w:rsid w:val="004513C1"/>
    <w:rsid w:val="00452173"/>
    <w:rsid w:val="00461BC3"/>
    <w:rsid w:val="00462C9D"/>
    <w:rsid w:val="00465140"/>
    <w:rsid w:val="00465498"/>
    <w:rsid w:val="00472F44"/>
    <w:rsid w:val="00472F94"/>
    <w:rsid w:val="004759F1"/>
    <w:rsid w:val="004809CF"/>
    <w:rsid w:val="004819E6"/>
    <w:rsid w:val="00481C31"/>
    <w:rsid w:val="004902B7"/>
    <w:rsid w:val="004919B0"/>
    <w:rsid w:val="00496D5A"/>
    <w:rsid w:val="004977AA"/>
    <w:rsid w:val="004A0606"/>
    <w:rsid w:val="004B011B"/>
    <w:rsid w:val="004B0854"/>
    <w:rsid w:val="004B2B80"/>
    <w:rsid w:val="004B3915"/>
    <w:rsid w:val="004B53E7"/>
    <w:rsid w:val="004B5D91"/>
    <w:rsid w:val="004B7B51"/>
    <w:rsid w:val="004C351A"/>
    <w:rsid w:val="004C5381"/>
    <w:rsid w:val="004D04BA"/>
    <w:rsid w:val="004D526B"/>
    <w:rsid w:val="004D79FB"/>
    <w:rsid w:val="004E01A9"/>
    <w:rsid w:val="004E11CF"/>
    <w:rsid w:val="004E1621"/>
    <w:rsid w:val="004E39D0"/>
    <w:rsid w:val="004E5C98"/>
    <w:rsid w:val="004E7834"/>
    <w:rsid w:val="004F02D1"/>
    <w:rsid w:val="004F064E"/>
    <w:rsid w:val="004F3B08"/>
    <w:rsid w:val="005039D0"/>
    <w:rsid w:val="00506740"/>
    <w:rsid w:val="00507228"/>
    <w:rsid w:val="005102A5"/>
    <w:rsid w:val="0051257E"/>
    <w:rsid w:val="005127C5"/>
    <w:rsid w:val="00512882"/>
    <w:rsid w:val="005129D6"/>
    <w:rsid w:val="00513429"/>
    <w:rsid w:val="005247DD"/>
    <w:rsid w:val="00526880"/>
    <w:rsid w:val="00527B37"/>
    <w:rsid w:val="005326F1"/>
    <w:rsid w:val="00534828"/>
    <w:rsid w:val="00535B1D"/>
    <w:rsid w:val="00535B54"/>
    <w:rsid w:val="00542225"/>
    <w:rsid w:val="00543DCD"/>
    <w:rsid w:val="00543E3F"/>
    <w:rsid w:val="00550BD5"/>
    <w:rsid w:val="00553E2E"/>
    <w:rsid w:val="00556C7D"/>
    <w:rsid w:val="00557559"/>
    <w:rsid w:val="00564057"/>
    <w:rsid w:val="00564472"/>
    <w:rsid w:val="00566DC1"/>
    <w:rsid w:val="00571D0C"/>
    <w:rsid w:val="00573E44"/>
    <w:rsid w:val="00584EB3"/>
    <w:rsid w:val="00584FB3"/>
    <w:rsid w:val="00590193"/>
    <w:rsid w:val="00595E35"/>
    <w:rsid w:val="00597A51"/>
    <w:rsid w:val="005A5780"/>
    <w:rsid w:val="005A5EDD"/>
    <w:rsid w:val="005B2BD9"/>
    <w:rsid w:val="005B3706"/>
    <w:rsid w:val="005B41F2"/>
    <w:rsid w:val="005B4AC8"/>
    <w:rsid w:val="005B71D8"/>
    <w:rsid w:val="005C1A1D"/>
    <w:rsid w:val="005C4E1E"/>
    <w:rsid w:val="005C6C89"/>
    <w:rsid w:val="005C76DB"/>
    <w:rsid w:val="005D4570"/>
    <w:rsid w:val="005E02B6"/>
    <w:rsid w:val="005E03F6"/>
    <w:rsid w:val="005E14BA"/>
    <w:rsid w:val="005E3673"/>
    <w:rsid w:val="005E48FA"/>
    <w:rsid w:val="005E51A6"/>
    <w:rsid w:val="005E52BB"/>
    <w:rsid w:val="005E5D9B"/>
    <w:rsid w:val="005E630E"/>
    <w:rsid w:val="005F1979"/>
    <w:rsid w:val="005F2C63"/>
    <w:rsid w:val="005F3088"/>
    <w:rsid w:val="005F3DDC"/>
    <w:rsid w:val="005F3EF3"/>
    <w:rsid w:val="005F423B"/>
    <w:rsid w:val="005F45F1"/>
    <w:rsid w:val="005F4D30"/>
    <w:rsid w:val="005F52C9"/>
    <w:rsid w:val="005F6A13"/>
    <w:rsid w:val="005F7E29"/>
    <w:rsid w:val="0060053E"/>
    <w:rsid w:val="00605DCE"/>
    <w:rsid w:val="00610B64"/>
    <w:rsid w:val="0061633B"/>
    <w:rsid w:val="00620CC3"/>
    <w:rsid w:val="006217B1"/>
    <w:rsid w:val="00621EE6"/>
    <w:rsid w:val="006237B7"/>
    <w:rsid w:val="0062471B"/>
    <w:rsid w:val="00625ACA"/>
    <w:rsid w:val="0063192B"/>
    <w:rsid w:val="0063208C"/>
    <w:rsid w:val="006350C7"/>
    <w:rsid w:val="00636E2A"/>
    <w:rsid w:val="00642D5B"/>
    <w:rsid w:val="0064448F"/>
    <w:rsid w:val="00645D52"/>
    <w:rsid w:val="00650B7C"/>
    <w:rsid w:val="00651F20"/>
    <w:rsid w:val="00655533"/>
    <w:rsid w:val="00655A7E"/>
    <w:rsid w:val="0066384D"/>
    <w:rsid w:val="00666E4D"/>
    <w:rsid w:val="00667BC7"/>
    <w:rsid w:val="00671387"/>
    <w:rsid w:val="006717EC"/>
    <w:rsid w:val="0067264B"/>
    <w:rsid w:val="006742D9"/>
    <w:rsid w:val="0068063C"/>
    <w:rsid w:val="00680B6D"/>
    <w:rsid w:val="00681771"/>
    <w:rsid w:val="00683C1E"/>
    <w:rsid w:val="00684E72"/>
    <w:rsid w:val="00687231"/>
    <w:rsid w:val="00687A4B"/>
    <w:rsid w:val="00694749"/>
    <w:rsid w:val="006A2B25"/>
    <w:rsid w:val="006A4055"/>
    <w:rsid w:val="006A491C"/>
    <w:rsid w:val="006A5598"/>
    <w:rsid w:val="006A7F17"/>
    <w:rsid w:val="006B3D9B"/>
    <w:rsid w:val="006B5A99"/>
    <w:rsid w:val="006B79BB"/>
    <w:rsid w:val="006C4B30"/>
    <w:rsid w:val="006C5256"/>
    <w:rsid w:val="006C63D7"/>
    <w:rsid w:val="006C6F8C"/>
    <w:rsid w:val="006D1EBE"/>
    <w:rsid w:val="006D217F"/>
    <w:rsid w:val="006D28E1"/>
    <w:rsid w:val="006D4516"/>
    <w:rsid w:val="006D5709"/>
    <w:rsid w:val="006D7AA2"/>
    <w:rsid w:val="006D7FC6"/>
    <w:rsid w:val="006E09A9"/>
    <w:rsid w:val="006E5205"/>
    <w:rsid w:val="006E5A5D"/>
    <w:rsid w:val="006F118C"/>
    <w:rsid w:val="006F1497"/>
    <w:rsid w:val="006F2FC0"/>
    <w:rsid w:val="006F3A6B"/>
    <w:rsid w:val="00706075"/>
    <w:rsid w:val="00706280"/>
    <w:rsid w:val="00713AAD"/>
    <w:rsid w:val="00721AFA"/>
    <w:rsid w:val="00722BDC"/>
    <w:rsid w:val="00732C80"/>
    <w:rsid w:val="007362B3"/>
    <w:rsid w:val="00737B69"/>
    <w:rsid w:val="00741F50"/>
    <w:rsid w:val="0074364F"/>
    <w:rsid w:val="00743A88"/>
    <w:rsid w:val="007443E0"/>
    <w:rsid w:val="00745413"/>
    <w:rsid w:val="00745C25"/>
    <w:rsid w:val="00746012"/>
    <w:rsid w:val="00746F70"/>
    <w:rsid w:val="00753473"/>
    <w:rsid w:val="00757E6D"/>
    <w:rsid w:val="00760CD5"/>
    <w:rsid w:val="00761804"/>
    <w:rsid w:val="0076238C"/>
    <w:rsid w:val="007631EA"/>
    <w:rsid w:val="007639F0"/>
    <w:rsid w:val="00770263"/>
    <w:rsid w:val="007702CE"/>
    <w:rsid w:val="00773D62"/>
    <w:rsid w:val="00774683"/>
    <w:rsid w:val="00774A1C"/>
    <w:rsid w:val="007770E7"/>
    <w:rsid w:val="00781573"/>
    <w:rsid w:val="00781B1A"/>
    <w:rsid w:val="00783786"/>
    <w:rsid w:val="00783AEF"/>
    <w:rsid w:val="00785149"/>
    <w:rsid w:val="0078641E"/>
    <w:rsid w:val="00790E9C"/>
    <w:rsid w:val="00791DBC"/>
    <w:rsid w:val="0079243F"/>
    <w:rsid w:val="00796CB3"/>
    <w:rsid w:val="007978D3"/>
    <w:rsid w:val="007A07BF"/>
    <w:rsid w:val="007A0EC7"/>
    <w:rsid w:val="007A1491"/>
    <w:rsid w:val="007A1F70"/>
    <w:rsid w:val="007A32BA"/>
    <w:rsid w:val="007A559E"/>
    <w:rsid w:val="007B1FC4"/>
    <w:rsid w:val="007B344A"/>
    <w:rsid w:val="007B35C4"/>
    <w:rsid w:val="007B6BA9"/>
    <w:rsid w:val="007C278F"/>
    <w:rsid w:val="007C42C3"/>
    <w:rsid w:val="007C6477"/>
    <w:rsid w:val="007D4B54"/>
    <w:rsid w:val="007D54EF"/>
    <w:rsid w:val="007D6E0D"/>
    <w:rsid w:val="007E0835"/>
    <w:rsid w:val="007E0F66"/>
    <w:rsid w:val="007E1301"/>
    <w:rsid w:val="007E30A7"/>
    <w:rsid w:val="007F021C"/>
    <w:rsid w:val="007F31D8"/>
    <w:rsid w:val="007F3E27"/>
    <w:rsid w:val="007F76ED"/>
    <w:rsid w:val="007F7877"/>
    <w:rsid w:val="007F7B54"/>
    <w:rsid w:val="00800D37"/>
    <w:rsid w:val="0080179D"/>
    <w:rsid w:val="00802FA9"/>
    <w:rsid w:val="00803E54"/>
    <w:rsid w:val="00813C7B"/>
    <w:rsid w:val="008151E8"/>
    <w:rsid w:val="00815994"/>
    <w:rsid w:val="00815AB4"/>
    <w:rsid w:val="00815E70"/>
    <w:rsid w:val="00817E7C"/>
    <w:rsid w:val="00822A9E"/>
    <w:rsid w:val="00831335"/>
    <w:rsid w:val="0083619F"/>
    <w:rsid w:val="0083639F"/>
    <w:rsid w:val="008401A3"/>
    <w:rsid w:val="008425B6"/>
    <w:rsid w:val="0084632F"/>
    <w:rsid w:val="00847BC4"/>
    <w:rsid w:val="00854E48"/>
    <w:rsid w:val="008644DA"/>
    <w:rsid w:val="00864F5B"/>
    <w:rsid w:val="0086771F"/>
    <w:rsid w:val="00870E75"/>
    <w:rsid w:val="00872661"/>
    <w:rsid w:val="00872D82"/>
    <w:rsid w:val="00875CFB"/>
    <w:rsid w:val="00884C8D"/>
    <w:rsid w:val="00885435"/>
    <w:rsid w:val="00886252"/>
    <w:rsid w:val="00890651"/>
    <w:rsid w:val="00891886"/>
    <w:rsid w:val="00892604"/>
    <w:rsid w:val="008953A7"/>
    <w:rsid w:val="00895EB8"/>
    <w:rsid w:val="008A038D"/>
    <w:rsid w:val="008B6B8C"/>
    <w:rsid w:val="008C7CB9"/>
    <w:rsid w:val="008D1A85"/>
    <w:rsid w:val="008D2A5A"/>
    <w:rsid w:val="008D362B"/>
    <w:rsid w:val="008D393F"/>
    <w:rsid w:val="008D4403"/>
    <w:rsid w:val="008D467E"/>
    <w:rsid w:val="008D5F09"/>
    <w:rsid w:val="008D770D"/>
    <w:rsid w:val="008D7F09"/>
    <w:rsid w:val="008E2535"/>
    <w:rsid w:val="008E52D4"/>
    <w:rsid w:val="008E611E"/>
    <w:rsid w:val="008E6364"/>
    <w:rsid w:val="008E729F"/>
    <w:rsid w:val="008F1DCD"/>
    <w:rsid w:val="008F2900"/>
    <w:rsid w:val="00900AC5"/>
    <w:rsid w:val="009029DD"/>
    <w:rsid w:val="00903B0E"/>
    <w:rsid w:val="00904876"/>
    <w:rsid w:val="0090507F"/>
    <w:rsid w:val="009101D5"/>
    <w:rsid w:val="00913566"/>
    <w:rsid w:val="009143D3"/>
    <w:rsid w:val="00915934"/>
    <w:rsid w:val="00916370"/>
    <w:rsid w:val="009164F8"/>
    <w:rsid w:val="00917778"/>
    <w:rsid w:val="00920154"/>
    <w:rsid w:val="00923293"/>
    <w:rsid w:val="009276D1"/>
    <w:rsid w:val="00930821"/>
    <w:rsid w:val="00931C10"/>
    <w:rsid w:val="00932BFE"/>
    <w:rsid w:val="009332EB"/>
    <w:rsid w:val="00934D38"/>
    <w:rsid w:val="00935442"/>
    <w:rsid w:val="00942DCD"/>
    <w:rsid w:val="00943923"/>
    <w:rsid w:val="00943AAE"/>
    <w:rsid w:val="00947A8C"/>
    <w:rsid w:val="009509E0"/>
    <w:rsid w:val="00951E6E"/>
    <w:rsid w:val="00955BD2"/>
    <w:rsid w:val="0096177C"/>
    <w:rsid w:val="00964DE9"/>
    <w:rsid w:val="00965991"/>
    <w:rsid w:val="00965D02"/>
    <w:rsid w:val="00965D94"/>
    <w:rsid w:val="00966095"/>
    <w:rsid w:val="0096632A"/>
    <w:rsid w:val="009734CB"/>
    <w:rsid w:val="00974517"/>
    <w:rsid w:val="009749F0"/>
    <w:rsid w:val="00984C00"/>
    <w:rsid w:val="00990A19"/>
    <w:rsid w:val="00991345"/>
    <w:rsid w:val="009916FE"/>
    <w:rsid w:val="00992F3C"/>
    <w:rsid w:val="00993290"/>
    <w:rsid w:val="009938CD"/>
    <w:rsid w:val="0099425B"/>
    <w:rsid w:val="009957DB"/>
    <w:rsid w:val="009965F7"/>
    <w:rsid w:val="00996D9A"/>
    <w:rsid w:val="009A0483"/>
    <w:rsid w:val="009A1079"/>
    <w:rsid w:val="009A42C5"/>
    <w:rsid w:val="009A48BB"/>
    <w:rsid w:val="009A755F"/>
    <w:rsid w:val="009A76ED"/>
    <w:rsid w:val="009B30DE"/>
    <w:rsid w:val="009B31C6"/>
    <w:rsid w:val="009B5EA0"/>
    <w:rsid w:val="009C1E58"/>
    <w:rsid w:val="009C30D1"/>
    <w:rsid w:val="009C4BC1"/>
    <w:rsid w:val="009C648E"/>
    <w:rsid w:val="009C706E"/>
    <w:rsid w:val="009D03F5"/>
    <w:rsid w:val="009D1067"/>
    <w:rsid w:val="009D118F"/>
    <w:rsid w:val="009D1555"/>
    <w:rsid w:val="009D3434"/>
    <w:rsid w:val="009D6F48"/>
    <w:rsid w:val="009E3501"/>
    <w:rsid w:val="009E50C8"/>
    <w:rsid w:val="009E677E"/>
    <w:rsid w:val="009E68FA"/>
    <w:rsid w:val="009E7DDF"/>
    <w:rsid w:val="009F5254"/>
    <w:rsid w:val="00A009A6"/>
    <w:rsid w:val="00A021CD"/>
    <w:rsid w:val="00A03347"/>
    <w:rsid w:val="00A047DB"/>
    <w:rsid w:val="00A048DE"/>
    <w:rsid w:val="00A05A12"/>
    <w:rsid w:val="00A06F7D"/>
    <w:rsid w:val="00A11393"/>
    <w:rsid w:val="00A12674"/>
    <w:rsid w:val="00A12BCE"/>
    <w:rsid w:val="00A165EB"/>
    <w:rsid w:val="00A2388E"/>
    <w:rsid w:val="00A272B2"/>
    <w:rsid w:val="00A275FE"/>
    <w:rsid w:val="00A30EA8"/>
    <w:rsid w:val="00A317E3"/>
    <w:rsid w:val="00A32BAF"/>
    <w:rsid w:val="00A351E5"/>
    <w:rsid w:val="00A37458"/>
    <w:rsid w:val="00A37A33"/>
    <w:rsid w:val="00A437BA"/>
    <w:rsid w:val="00A45E16"/>
    <w:rsid w:val="00A47A50"/>
    <w:rsid w:val="00A52AF6"/>
    <w:rsid w:val="00A52CED"/>
    <w:rsid w:val="00A54DFF"/>
    <w:rsid w:val="00A637D1"/>
    <w:rsid w:val="00A71B3E"/>
    <w:rsid w:val="00A726FD"/>
    <w:rsid w:val="00A72CA4"/>
    <w:rsid w:val="00A733BB"/>
    <w:rsid w:val="00A82190"/>
    <w:rsid w:val="00A8441E"/>
    <w:rsid w:val="00A84743"/>
    <w:rsid w:val="00A90120"/>
    <w:rsid w:val="00A9203E"/>
    <w:rsid w:val="00AA17F9"/>
    <w:rsid w:val="00AA23B5"/>
    <w:rsid w:val="00AA3E31"/>
    <w:rsid w:val="00AA5C6D"/>
    <w:rsid w:val="00AA6C44"/>
    <w:rsid w:val="00AB0B4F"/>
    <w:rsid w:val="00AB1989"/>
    <w:rsid w:val="00AB1A4B"/>
    <w:rsid w:val="00AB3C4B"/>
    <w:rsid w:val="00AB476D"/>
    <w:rsid w:val="00AB5CF5"/>
    <w:rsid w:val="00AC1E44"/>
    <w:rsid w:val="00AC22E4"/>
    <w:rsid w:val="00AC25AC"/>
    <w:rsid w:val="00AC2DD1"/>
    <w:rsid w:val="00AC3007"/>
    <w:rsid w:val="00AC5531"/>
    <w:rsid w:val="00AC5787"/>
    <w:rsid w:val="00AC5E9D"/>
    <w:rsid w:val="00AC5F39"/>
    <w:rsid w:val="00AC6A4B"/>
    <w:rsid w:val="00AD2CBC"/>
    <w:rsid w:val="00AD551E"/>
    <w:rsid w:val="00AE1C53"/>
    <w:rsid w:val="00AE258D"/>
    <w:rsid w:val="00AE2EAC"/>
    <w:rsid w:val="00AE44D4"/>
    <w:rsid w:val="00AE73B6"/>
    <w:rsid w:val="00AF2956"/>
    <w:rsid w:val="00AF315D"/>
    <w:rsid w:val="00AF373C"/>
    <w:rsid w:val="00AF3803"/>
    <w:rsid w:val="00AF52E9"/>
    <w:rsid w:val="00AF5DB1"/>
    <w:rsid w:val="00AF6383"/>
    <w:rsid w:val="00B013DF"/>
    <w:rsid w:val="00B028DB"/>
    <w:rsid w:val="00B02B7A"/>
    <w:rsid w:val="00B02CF3"/>
    <w:rsid w:val="00B13407"/>
    <w:rsid w:val="00B13B48"/>
    <w:rsid w:val="00B158ED"/>
    <w:rsid w:val="00B16A0E"/>
    <w:rsid w:val="00B176DB"/>
    <w:rsid w:val="00B17894"/>
    <w:rsid w:val="00B22661"/>
    <w:rsid w:val="00B263EF"/>
    <w:rsid w:val="00B26A0B"/>
    <w:rsid w:val="00B272B4"/>
    <w:rsid w:val="00B27C22"/>
    <w:rsid w:val="00B304F1"/>
    <w:rsid w:val="00B309B9"/>
    <w:rsid w:val="00B316DC"/>
    <w:rsid w:val="00B3328A"/>
    <w:rsid w:val="00B334BD"/>
    <w:rsid w:val="00B36FA3"/>
    <w:rsid w:val="00B37FEB"/>
    <w:rsid w:val="00B4395F"/>
    <w:rsid w:val="00B449FB"/>
    <w:rsid w:val="00B50415"/>
    <w:rsid w:val="00B51CD5"/>
    <w:rsid w:val="00B61068"/>
    <w:rsid w:val="00B66EE0"/>
    <w:rsid w:val="00B670F6"/>
    <w:rsid w:val="00B672DA"/>
    <w:rsid w:val="00B71A56"/>
    <w:rsid w:val="00B71BAE"/>
    <w:rsid w:val="00B71E72"/>
    <w:rsid w:val="00B72AC2"/>
    <w:rsid w:val="00B734AF"/>
    <w:rsid w:val="00B75A71"/>
    <w:rsid w:val="00B75A85"/>
    <w:rsid w:val="00B75F11"/>
    <w:rsid w:val="00B76700"/>
    <w:rsid w:val="00B770D9"/>
    <w:rsid w:val="00B820DA"/>
    <w:rsid w:val="00B83587"/>
    <w:rsid w:val="00B849E7"/>
    <w:rsid w:val="00B860B8"/>
    <w:rsid w:val="00B906D5"/>
    <w:rsid w:val="00B911BC"/>
    <w:rsid w:val="00B92167"/>
    <w:rsid w:val="00B92B44"/>
    <w:rsid w:val="00B939C6"/>
    <w:rsid w:val="00B940A9"/>
    <w:rsid w:val="00B94101"/>
    <w:rsid w:val="00B96007"/>
    <w:rsid w:val="00B9742B"/>
    <w:rsid w:val="00B97990"/>
    <w:rsid w:val="00BA2840"/>
    <w:rsid w:val="00BA2F44"/>
    <w:rsid w:val="00BA3B3E"/>
    <w:rsid w:val="00BA4D0E"/>
    <w:rsid w:val="00BB15AE"/>
    <w:rsid w:val="00BB30F0"/>
    <w:rsid w:val="00BB4625"/>
    <w:rsid w:val="00BB49EF"/>
    <w:rsid w:val="00BC0F13"/>
    <w:rsid w:val="00BC14E3"/>
    <w:rsid w:val="00BC2048"/>
    <w:rsid w:val="00BC2345"/>
    <w:rsid w:val="00BD3CFB"/>
    <w:rsid w:val="00BE4235"/>
    <w:rsid w:val="00BF00E0"/>
    <w:rsid w:val="00BF1A5E"/>
    <w:rsid w:val="00BF37FB"/>
    <w:rsid w:val="00C01FB2"/>
    <w:rsid w:val="00C03E99"/>
    <w:rsid w:val="00C04D61"/>
    <w:rsid w:val="00C0529A"/>
    <w:rsid w:val="00C05DCC"/>
    <w:rsid w:val="00C07E26"/>
    <w:rsid w:val="00C152A8"/>
    <w:rsid w:val="00C16C95"/>
    <w:rsid w:val="00C203EE"/>
    <w:rsid w:val="00C22EB6"/>
    <w:rsid w:val="00C23496"/>
    <w:rsid w:val="00C23896"/>
    <w:rsid w:val="00C243D4"/>
    <w:rsid w:val="00C255A0"/>
    <w:rsid w:val="00C27DA4"/>
    <w:rsid w:val="00C30656"/>
    <w:rsid w:val="00C35C2D"/>
    <w:rsid w:val="00C36ECB"/>
    <w:rsid w:val="00C37663"/>
    <w:rsid w:val="00C41F23"/>
    <w:rsid w:val="00C44A43"/>
    <w:rsid w:val="00C5334C"/>
    <w:rsid w:val="00C55EBD"/>
    <w:rsid w:val="00C57BB4"/>
    <w:rsid w:val="00C6388A"/>
    <w:rsid w:val="00C64A0B"/>
    <w:rsid w:val="00C65224"/>
    <w:rsid w:val="00C653F0"/>
    <w:rsid w:val="00C66CE9"/>
    <w:rsid w:val="00C715BD"/>
    <w:rsid w:val="00C733C4"/>
    <w:rsid w:val="00C73FED"/>
    <w:rsid w:val="00C7530A"/>
    <w:rsid w:val="00C754F0"/>
    <w:rsid w:val="00C80FE0"/>
    <w:rsid w:val="00C81CDF"/>
    <w:rsid w:val="00C83A1E"/>
    <w:rsid w:val="00C85792"/>
    <w:rsid w:val="00C86B0F"/>
    <w:rsid w:val="00C938D6"/>
    <w:rsid w:val="00C93B96"/>
    <w:rsid w:val="00C93F87"/>
    <w:rsid w:val="00C9470D"/>
    <w:rsid w:val="00CA17D1"/>
    <w:rsid w:val="00CA2308"/>
    <w:rsid w:val="00CA4DE7"/>
    <w:rsid w:val="00CA4F9D"/>
    <w:rsid w:val="00CB049A"/>
    <w:rsid w:val="00CB1C2F"/>
    <w:rsid w:val="00CB530B"/>
    <w:rsid w:val="00CB6926"/>
    <w:rsid w:val="00CB6FE9"/>
    <w:rsid w:val="00CC3C6C"/>
    <w:rsid w:val="00CC4EE4"/>
    <w:rsid w:val="00CC58F4"/>
    <w:rsid w:val="00CC604B"/>
    <w:rsid w:val="00CC7D46"/>
    <w:rsid w:val="00CD0AA9"/>
    <w:rsid w:val="00CD0ADB"/>
    <w:rsid w:val="00CD1E78"/>
    <w:rsid w:val="00CD3CE9"/>
    <w:rsid w:val="00CD3D63"/>
    <w:rsid w:val="00CD53D0"/>
    <w:rsid w:val="00CF094B"/>
    <w:rsid w:val="00CF3F11"/>
    <w:rsid w:val="00CF5D8B"/>
    <w:rsid w:val="00CF692F"/>
    <w:rsid w:val="00CF79C5"/>
    <w:rsid w:val="00D119A3"/>
    <w:rsid w:val="00D1248C"/>
    <w:rsid w:val="00D128B5"/>
    <w:rsid w:val="00D1617A"/>
    <w:rsid w:val="00D21F91"/>
    <w:rsid w:val="00D2233A"/>
    <w:rsid w:val="00D232B3"/>
    <w:rsid w:val="00D2525B"/>
    <w:rsid w:val="00D27C7D"/>
    <w:rsid w:val="00D27EDA"/>
    <w:rsid w:val="00D30D38"/>
    <w:rsid w:val="00D330ED"/>
    <w:rsid w:val="00D34FBA"/>
    <w:rsid w:val="00D40EBB"/>
    <w:rsid w:val="00D41448"/>
    <w:rsid w:val="00D41943"/>
    <w:rsid w:val="00D4334E"/>
    <w:rsid w:val="00D44EDB"/>
    <w:rsid w:val="00D502A7"/>
    <w:rsid w:val="00D51EBC"/>
    <w:rsid w:val="00D524DB"/>
    <w:rsid w:val="00D528C0"/>
    <w:rsid w:val="00D53432"/>
    <w:rsid w:val="00D53BDF"/>
    <w:rsid w:val="00D53E00"/>
    <w:rsid w:val="00D55244"/>
    <w:rsid w:val="00D61CEF"/>
    <w:rsid w:val="00D61D55"/>
    <w:rsid w:val="00D65955"/>
    <w:rsid w:val="00D72EE4"/>
    <w:rsid w:val="00D736B8"/>
    <w:rsid w:val="00D7381C"/>
    <w:rsid w:val="00D800D8"/>
    <w:rsid w:val="00D82BAC"/>
    <w:rsid w:val="00D90B37"/>
    <w:rsid w:val="00D913BB"/>
    <w:rsid w:val="00D92FE1"/>
    <w:rsid w:val="00D9305E"/>
    <w:rsid w:val="00D939A1"/>
    <w:rsid w:val="00DA1B73"/>
    <w:rsid w:val="00DA4FB3"/>
    <w:rsid w:val="00DB111D"/>
    <w:rsid w:val="00DB2383"/>
    <w:rsid w:val="00DB30CE"/>
    <w:rsid w:val="00DC01E5"/>
    <w:rsid w:val="00DC2E5F"/>
    <w:rsid w:val="00DC3188"/>
    <w:rsid w:val="00DC3E55"/>
    <w:rsid w:val="00DC6B98"/>
    <w:rsid w:val="00DC6F1D"/>
    <w:rsid w:val="00DC70C8"/>
    <w:rsid w:val="00DD1861"/>
    <w:rsid w:val="00DD1CF4"/>
    <w:rsid w:val="00DD37E0"/>
    <w:rsid w:val="00DD6588"/>
    <w:rsid w:val="00DE052E"/>
    <w:rsid w:val="00DE226B"/>
    <w:rsid w:val="00DE3215"/>
    <w:rsid w:val="00DE6637"/>
    <w:rsid w:val="00DE7945"/>
    <w:rsid w:val="00DF0D44"/>
    <w:rsid w:val="00DF14FA"/>
    <w:rsid w:val="00DF2673"/>
    <w:rsid w:val="00DF2BC2"/>
    <w:rsid w:val="00DF37C3"/>
    <w:rsid w:val="00DF5F80"/>
    <w:rsid w:val="00DF73DC"/>
    <w:rsid w:val="00E0413B"/>
    <w:rsid w:val="00E04943"/>
    <w:rsid w:val="00E053FF"/>
    <w:rsid w:val="00E07A99"/>
    <w:rsid w:val="00E11B50"/>
    <w:rsid w:val="00E1286F"/>
    <w:rsid w:val="00E13862"/>
    <w:rsid w:val="00E16F97"/>
    <w:rsid w:val="00E202E9"/>
    <w:rsid w:val="00E21C4C"/>
    <w:rsid w:val="00E313B0"/>
    <w:rsid w:val="00E31721"/>
    <w:rsid w:val="00E3443F"/>
    <w:rsid w:val="00E36491"/>
    <w:rsid w:val="00E36FD1"/>
    <w:rsid w:val="00E40093"/>
    <w:rsid w:val="00E40145"/>
    <w:rsid w:val="00E42FA5"/>
    <w:rsid w:val="00E434EC"/>
    <w:rsid w:val="00E50737"/>
    <w:rsid w:val="00E52AA1"/>
    <w:rsid w:val="00E552A9"/>
    <w:rsid w:val="00E606F7"/>
    <w:rsid w:val="00E64853"/>
    <w:rsid w:val="00E66D6E"/>
    <w:rsid w:val="00E83344"/>
    <w:rsid w:val="00E83AA0"/>
    <w:rsid w:val="00E877DB"/>
    <w:rsid w:val="00E87EFE"/>
    <w:rsid w:val="00E90B7A"/>
    <w:rsid w:val="00E91001"/>
    <w:rsid w:val="00E91CCF"/>
    <w:rsid w:val="00E92F9E"/>
    <w:rsid w:val="00EA07F7"/>
    <w:rsid w:val="00EA3DB4"/>
    <w:rsid w:val="00EA45C3"/>
    <w:rsid w:val="00EA6451"/>
    <w:rsid w:val="00EB22A7"/>
    <w:rsid w:val="00EB5706"/>
    <w:rsid w:val="00EB68C1"/>
    <w:rsid w:val="00EC4763"/>
    <w:rsid w:val="00EC490B"/>
    <w:rsid w:val="00EC4AD6"/>
    <w:rsid w:val="00EC60F7"/>
    <w:rsid w:val="00ED3348"/>
    <w:rsid w:val="00ED5BE2"/>
    <w:rsid w:val="00EE20A0"/>
    <w:rsid w:val="00EE20FE"/>
    <w:rsid w:val="00EE2AAD"/>
    <w:rsid w:val="00EE65CE"/>
    <w:rsid w:val="00EE7DFC"/>
    <w:rsid w:val="00EF0C97"/>
    <w:rsid w:val="00EF2F17"/>
    <w:rsid w:val="00EF55CA"/>
    <w:rsid w:val="00EF6352"/>
    <w:rsid w:val="00EF700B"/>
    <w:rsid w:val="00EF709F"/>
    <w:rsid w:val="00EF710B"/>
    <w:rsid w:val="00F02A1D"/>
    <w:rsid w:val="00F06409"/>
    <w:rsid w:val="00F0689E"/>
    <w:rsid w:val="00F07A3A"/>
    <w:rsid w:val="00F07C90"/>
    <w:rsid w:val="00F120CE"/>
    <w:rsid w:val="00F150D1"/>
    <w:rsid w:val="00F16561"/>
    <w:rsid w:val="00F16EED"/>
    <w:rsid w:val="00F2022C"/>
    <w:rsid w:val="00F21E40"/>
    <w:rsid w:val="00F23702"/>
    <w:rsid w:val="00F24D4E"/>
    <w:rsid w:val="00F24EB6"/>
    <w:rsid w:val="00F31D3F"/>
    <w:rsid w:val="00F31E2C"/>
    <w:rsid w:val="00F32AF4"/>
    <w:rsid w:val="00F36DEF"/>
    <w:rsid w:val="00F370C6"/>
    <w:rsid w:val="00F41BC9"/>
    <w:rsid w:val="00F42267"/>
    <w:rsid w:val="00F42E02"/>
    <w:rsid w:val="00F44D06"/>
    <w:rsid w:val="00F44FFA"/>
    <w:rsid w:val="00F51111"/>
    <w:rsid w:val="00F6436D"/>
    <w:rsid w:val="00F64619"/>
    <w:rsid w:val="00F64F3D"/>
    <w:rsid w:val="00F708FA"/>
    <w:rsid w:val="00F71333"/>
    <w:rsid w:val="00F81E52"/>
    <w:rsid w:val="00F848B4"/>
    <w:rsid w:val="00F924F1"/>
    <w:rsid w:val="00F92BC8"/>
    <w:rsid w:val="00F95002"/>
    <w:rsid w:val="00F95FDF"/>
    <w:rsid w:val="00F96422"/>
    <w:rsid w:val="00FA00DC"/>
    <w:rsid w:val="00FA0352"/>
    <w:rsid w:val="00FA0423"/>
    <w:rsid w:val="00FA3E7B"/>
    <w:rsid w:val="00FA5A50"/>
    <w:rsid w:val="00FB0004"/>
    <w:rsid w:val="00FB03D3"/>
    <w:rsid w:val="00FB046A"/>
    <w:rsid w:val="00FB4D4E"/>
    <w:rsid w:val="00FB53C9"/>
    <w:rsid w:val="00FB545D"/>
    <w:rsid w:val="00FC0265"/>
    <w:rsid w:val="00FC31BD"/>
    <w:rsid w:val="00FC383E"/>
    <w:rsid w:val="00FC4F58"/>
    <w:rsid w:val="00FC5C23"/>
    <w:rsid w:val="00FC5CD0"/>
    <w:rsid w:val="00FC687B"/>
    <w:rsid w:val="00FD6457"/>
    <w:rsid w:val="00FE1296"/>
    <w:rsid w:val="00FE26C4"/>
    <w:rsid w:val="00FE491E"/>
    <w:rsid w:val="00FE4D40"/>
    <w:rsid w:val="00FE5D72"/>
    <w:rsid w:val="00FE6AF7"/>
    <w:rsid w:val="00FF4007"/>
    <w:rsid w:val="00FF4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1FA47"/>
  <w15:docId w15:val="{127A767F-6C51-4EAB-BD9A-1392BA458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BAC"/>
    <w:pPr>
      <w:spacing w:line="360" w:lineRule="auto"/>
    </w:pPr>
    <w:rPr>
      <w:rFonts w:asciiTheme="majorHAnsi" w:hAnsiTheme="majorHAnsi"/>
      <w:sz w:val="24"/>
    </w:rPr>
  </w:style>
  <w:style w:type="paragraph" w:styleId="Heading1">
    <w:name w:val="heading 1"/>
    <w:basedOn w:val="Normal"/>
    <w:next w:val="Normal"/>
    <w:link w:val="Heading1Char"/>
    <w:uiPriority w:val="9"/>
    <w:qFormat/>
    <w:rsid w:val="002E234C"/>
    <w:pPr>
      <w:keepNext/>
      <w:keepLines/>
      <w:pageBreakBefore/>
      <w:numPr>
        <w:numId w:val="1"/>
      </w:numPr>
      <w:spacing w:before="480" w:after="0"/>
      <w:outlineLvl w:val="0"/>
    </w:pPr>
    <w:rPr>
      <w:rFonts w:asciiTheme="minorHAnsi" w:eastAsiaTheme="majorEastAsia" w:hAnsiTheme="minorHAnsi" w:cstheme="majorBidi"/>
      <w:b/>
      <w:bCs/>
      <w:color w:val="365F91" w:themeColor="accent1" w:themeShade="BF"/>
      <w:sz w:val="48"/>
      <w:szCs w:val="48"/>
    </w:rPr>
  </w:style>
  <w:style w:type="paragraph" w:styleId="Heading2">
    <w:name w:val="heading 2"/>
    <w:basedOn w:val="Normal"/>
    <w:next w:val="Normal"/>
    <w:link w:val="Heading2Char"/>
    <w:uiPriority w:val="9"/>
    <w:unhideWhenUsed/>
    <w:qFormat/>
    <w:rsid w:val="00012844"/>
    <w:pPr>
      <w:keepNext/>
      <w:keepLines/>
      <w:numPr>
        <w:ilvl w:val="1"/>
        <w:numId w:val="1"/>
      </w:numPr>
      <w:spacing w:before="200" w:after="0"/>
      <w:outlineLvl w:val="1"/>
    </w:pPr>
    <w:rPr>
      <w:rFonts w:asciiTheme="minorHAnsi" w:eastAsiaTheme="majorEastAsia" w:hAnsiTheme="minorHAnsi" w:cstheme="majorBidi"/>
      <w:b/>
      <w:bCs/>
      <w:color w:val="1F497D" w:themeColor="text2"/>
      <w:sz w:val="32"/>
      <w:szCs w:val="26"/>
    </w:rPr>
  </w:style>
  <w:style w:type="paragraph" w:styleId="Heading3">
    <w:name w:val="heading 3"/>
    <w:basedOn w:val="Normal"/>
    <w:next w:val="Normal"/>
    <w:link w:val="Heading3Char"/>
    <w:uiPriority w:val="9"/>
    <w:unhideWhenUsed/>
    <w:qFormat/>
    <w:rsid w:val="00D82BAC"/>
    <w:pPr>
      <w:keepNext/>
      <w:keepLines/>
      <w:numPr>
        <w:ilvl w:val="2"/>
        <w:numId w:val="1"/>
      </w:numPr>
      <w:spacing w:before="200" w:after="0"/>
      <w:outlineLvl w:val="2"/>
    </w:pPr>
    <w:rPr>
      <w:rFonts w:asciiTheme="minorHAnsi" w:eastAsiaTheme="majorEastAsia" w:hAnsiTheme="minorHAnsi" w:cstheme="majorBidi"/>
      <w:b/>
      <w:bCs/>
      <w:color w:val="1F497D" w:themeColor="text2"/>
    </w:rPr>
  </w:style>
  <w:style w:type="paragraph" w:styleId="Heading4">
    <w:name w:val="heading 4"/>
    <w:basedOn w:val="Normal"/>
    <w:next w:val="Normal"/>
    <w:link w:val="Heading4Char"/>
    <w:uiPriority w:val="9"/>
    <w:semiHidden/>
    <w:unhideWhenUsed/>
    <w:qFormat/>
    <w:rsid w:val="00012844"/>
    <w:pPr>
      <w:keepNext/>
      <w:keepLines/>
      <w:numPr>
        <w:ilvl w:val="3"/>
        <w:numId w:val="1"/>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012844"/>
    <w:pPr>
      <w:keepNext/>
      <w:keepLines/>
      <w:numPr>
        <w:ilvl w:val="4"/>
        <w:numId w:val="1"/>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012844"/>
    <w:pPr>
      <w:keepNext/>
      <w:keepLines/>
      <w:numPr>
        <w:ilvl w:val="5"/>
        <w:numId w:val="1"/>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012844"/>
    <w:pPr>
      <w:keepNext/>
      <w:keepLines/>
      <w:numPr>
        <w:ilvl w:val="6"/>
        <w:numId w:val="1"/>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012844"/>
    <w:pPr>
      <w:keepNext/>
      <w:keepLines/>
      <w:numPr>
        <w:ilvl w:val="7"/>
        <w:numId w:val="1"/>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12844"/>
    <w:pPr>
      <w:keepNext/>
      <w:keepLines/>
      <w:numPr>
        <w:ilvl w:val="8"/>
        <w:numId w:val="1"/>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2844"/>
    <w:rPr>
      <w:rFonts w:eastAsiaTheme="majorEastAsia" w:cstheme="majorBidi"/>
      <w:b/>
      <w:bCs/>
      <w:color w:val="1F497D" w:themeColor="text2"/>
      <w:sz w:val="32"/>
      <w:szCs w:val="26"/>
    </w:rPr>
  </w:style>
  <w:style w:type="character" w:customStyle="1" w:styleId="Heading1Char">
    <w:name w:val="Heading 1 Char"/>
    <w:basedOn w:val="DefaultParagraphFont"/>
    <w:link w:val="Heading1"/>
    <w:uiPriority w:val="9"/>
    <w:rsid w:val="002E234C"/>
    <w:rPr>
      <w:rFonts w:eastAsiaTheme="majorEastAsia" w:cstheme="majorBidi"/>
      <w:b/>
      <w:bCs/>
      <w:color w:val="365F91" w:themeColor="accent1" w:themeShade="BF"/>
      <w:sz w:val="48"/>
      <w:szCs w:val="48"/>
    </w:rPr>
  </w:style>
  <w:style w:type="character" w:customStyle="1" w:styleId="Heading3Char">
    <w:name w:val="Heading 3 Char"/>
    <w:basedOn w:val="DefaultParagraphFont"/>
    <w:link w:val="Heading3"/>
    <w:uiPriority w:val="9"/>
    <w:rsid w:val="00D82BAC"/>
    <w:rPr>
      <w:rFonts w:eastAsiaTheme="majorEastAsia" w:cstheme="majorBidi"/>
      <w:b/>
      <w:bCs/>
      <w:color w:val="1F497D" w:themeColor="text2"/>
      <w:sz w:val="24"/>
    </w:rPr>
  </w:style>
  <w:style w:type="paragraph" w:styleId="Title">
    <w:name w:val="Title"/>
    <w:basedOn w:val="Normal"/>
    <w:next w:val="Normal"/>
    <w:link w:val="TitleChar"/>
    <w:uiPriority w:val="10"/>
    <w:qFormat/>
    <w:rsid w:val="002E234C"/>
    <w:pPr>
      <w:pBdr>
        <w:bottom w:val="single" w:sz="8" w:space="4" w:color="4F81BD" w:themeColor="accent1"/>
      </w:pBdr>
      <w:spacing w:after="300" w:line="240" w:lineRule="auto"/>
      <w:contextualSpacing/>
    </w:pPr>
    <w:rPr>
      <w:rFonts w:asciiTheme="minorHAnsi" w:eastAsiaTheme="majorEastAsia" w:hAnsiTheme="min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234C"/>
    <w:rPr>
      <w:rFonts w:eastAsiaTheme="majorEastAsia" w:cstheme="majorBidi"/>
      <w:color w:val="17365D" w:themeColor="text2" w:themeShade="BF"/>
      <w:spacing w:val="5"/>
      <w:kern w:val="28"/>
      <w:sz w:val="52"/>
      <w:szCs w:val="52"/>
    </w:rPr>
  </w:style>
  <w:style w:type="paragraph" w:customStyle="1" w:styleId="UnnumberedHeading">
    <w:name w:val="Unnumbered Heading"/>
    <w:basedOn w:val="Heading1"/>
    <w:link w:val="UnnumberedHeadingChar"/>
    <w:qFormat/>
    <w:rsid w:val="00012844"/>
    <w:pPr>
      <w:numPr>
        <w:numId w:val="0"/>
      </w:numPr>
    </w:pPr>
  </w:style>
  <w:style w:type="character" w:customStyle="1" w:styleId="Heading4Char">
    <w:name w:val="Heading 4 Char"/>
    <w:basedOn w:val="DefaultParagraphFont"/>
    <w:link w:val="Heading4"/>
    <w:uiPriority w:val="9"/>
    <w:semiHidden/>
    <w:rsid w:val="00012844"/>
    <w:rPr>
      <w:rFonts w:asciiTheme="majorHAnsi" w:eastAsiaTheme="majorEastAsia" w:hAnsiTheme="majorHAnsi" w:cstheme="majorBidi"/>
      <w:b/>
      <w:bCs/>
      <w:i/>
      <w:iCs/>
      <w:color w:val="4F81BD" w:themeColor="accent1"/>
      <w:sz w:val="24"/>
    </w:rPr>
  </w:style>
  <w:style w:type="character" w:customStyle="1" w:styleId="UnnumberedHeadingChar">
    <w:name w:val="Unnumbered Heading Char"/>
    <w:basedOn w:val="Heading1Char"/>
    <w:link w:val="UnnumberedHeading"/>
    <w:rsid w:val="00012844"/>
    <w:rPr>
      <w:rFonts w:eastAsiaTheme="majorEastAsia" w:cstheme="majorBidi"/>
      <w:b/>
      <w:bCs/>
      <w:color w:val="365F91" w:themeColor="accent1" w:themeShade="BF"/>
      <w:sz w:val="48"/>
      <w:szCs w:val="48"/>
    </w:rPr>
  </w:style>
  <w:style w:type="character" w:customStyle="1" w:styleId="Heading5Char">
    <w:name w:val="Heading 5 Char"/>
    <w:basedOn w:val="DefaultParagraphFont"/>
    <w:link w:val="Heading5"/>
    <w:uiPriority w:val="9"/>
    <w:semiHidden/>
    <w:rsid w:val="00012844"/>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01284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01284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128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12844"/>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012844"/>
    <w:pPr>
      <w:pageBreakBefore w:val="0"/>
      <w:numPr>
        <w:numId w:val="0"/>
      </w:numPr>
      <w:outlineLvl w:val="9"/>
    </w:pPr>
    <w:rPr>
      <w:rFonts w:asciiTheme="majorHAnsi" w:hAnsiTheme="majorHAnsi"/>
      <w:sz w:val="28"/>
      <w:szCs w:val="28"/>
      <w:lang w:val="en-US"/>
    </w:rPr>
  </w:style>
  <w:style w:type="paragraph" w:styleId="TOC1">
    <w:name w:val="toc 1"/>
    <w:basedOn w:val="Normal"/>
    <w:next w:val="Normal"/>
    <w:autoRedefine/>
    <w:uiPriority w:val="39"/>
    <w:unhideWhenUsed/>
    <w:rsid w:val="00F16561"/>
    <w:pPr>
      <w:tabs>
        <w:tab w:val="left" w:pos="442"/>
        <w:tab w:val="right" w:leader="dot" w:pos="8732"/>
      </w:tabs>
      <w:spacing w:after="0"/>
    </w:pPr>
    <w:rPr>
      <w:b/>
    </w:rPr>
  </w:style>
  <w:style w:type="paragraph" w:styleId="TOC2">
    <w:name w:val="toc 2"/>
    <w:basedOn w:val="Normal"/>
    <w:next w:val="Normal"/>
    <w:autoRedefine/>
    <w:uiPriority w:val="39"/>
    <w:unhideWhenUsed/>
    <w:rsid w:val="00F16561"/>
    <w:pPr>
      <w:spacing w:after="0"/>
      <w:ind w:left="221"/>
    </w:pPr>
  </w:style>
  <w:style w:type="paragraph" w:styleId="TOC3">
    <w:name w:val="toc 3"/>
    <w:basedOn w:val="Normal"/>
    <w:next w:val="Normal"/>
    <w:autoRedefine/>
    <w:uiPriority w:val="39"/>
    <w:unhideWhenUsed/>
    <w:rsid w:val="00F16561"/>
    <w:pPr>
      <w:spacing w:after="0"/>
      <w:ind w:left="442"/>
    </w:pPr>
  </w:style>
  <w:style w:type="character" w:styleId="Hyperlink">
    <w:name w:val="Hyperlink"/>
    <w:basedOn w:val="DefaultParagraphFont"/>
    <w:uiPriority w:val="99"/>
    <w:unhideWhenUsed/>
    <w:rsid w:val="00012844"/>
    <w:rPr>
      <w:color w:val="0000FF" w:themeColor="hyperlink"/>
      <w:u w:val="single"/>
    </w:rPr>
  </w:style>
  <w:style w:type="paragraph" w:styleId="BalloonText">
    <w:name w:val="Balloon Text"/>
    <w:basedOn w:val="Normal"/>
    <w:link w:val="BalloonTextChar"/>
    <w:uiPriority w:val="99"/>
    <w:semiHidden/>
    <w:unhideWhenUsed/>
    <w:rsid w:val="00012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844"/>
    <w:rPr>
      <w:rFonts w:ascii="Tahoma" w:hAnsi="Tahoma" w:cs="Tahoma"/>
      <w:sz w:val="16"/>
      <w:szCs w:val="16"/>
    </w:rPr>
  </w:style>
  <w:style w:type="paragraph" w:styleId="Header">
    <w:name w:val="header"/>
    <w:basedOn w:val="Normal"/>
    <w:link w:val="HeaderChar"/>
    <w:uiPriority w:val="99"/>
    <w:unhideWhenUsed/>
    <w:rsid w:val="009659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991"/>
    <w:rPr>
      <w:rFonts w:asciiTheme="majorHAnsi" w:hAnsiTheme="majorHAnsi"/>
      <w:sz w:val="24"/>
    </w:rPr>
  </w:style>
  <w:style w:type="paragraph" w:styleId="Footer">
    <w:name w:val="footer"/>
    <w:basedOn w:val="Normal"/>
    <w:link w:val="FooterChar"/>
    <w:uiPriority w:val="99"/>
    <w:unhideWhenUsed/>
    <w:rsid w:val="009659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991"/>
    <w:rPr>
      <w:rFonts w:asciiTheme="majorHAnsi" w:hAnsiTheme="majorHAnsi"/>
      <w:sz w:val="24"/>
    </w:rPr>
  </w:style>
  <w:style w:type="paragraph" w:styleId="ListParagraph">
    <w:name w:val="List Paragraph"/>
    <w:basedOn w:val="Normal"/>
    <w:uiPriority w:val="34"/>
    <w:qFormat/>
    <w:rsid w:val="00870E75"/>
    <w:pPr>
      <w:ind w:left="720"/>
      <w:contextualSpacing/>
    </w:pPr>
  </w:style>
  <w:style w:type="paragraph" w:customStyle="1" w:styleId="AppendixHeading">
    <w:name w:val="Appendix Heading"/>
    <w:basedOn w:val="UnnumberedHeading"/>
    <w:link w:val="AppendixHeadingChar"/>
    <w:qFormat/>
    <w:rsid w:val="00870E75"/>
  </w:style>
  <w:style w:type="character" w:customStyle="1" w:styleId="AppendixHeadingChar">
    <w:name w:val="Appendix Heading Char"/>
    <w:basedOn w:val="UnnumberedHeadingChar"/>
    <w:link w:val="AppendixHeading"/>
    <w:rsid w:val="00870E75"/>
    <w:rPr>
      <w:rFonts w:eastAsiaTheme="majorEastAsia" w:cstheme="majorBidi"/>
      <w:b/>
      <w:bCs/>
      <w:color w:val="365F91" w:themeColor="accent1" w:themeShade="BF"/>
      <w:sz w:val="48"/>
      <w:szCs w:val="48"/>
    </w:rPr>
  </w:style>
  <w:style w:type="paragraph" w:styleId="HTMLPreformatted">
    <w:name w:val="HTML Preformatted"/>
    <w:basedOn w:val="Normal"/>
    <w:link w:val="HTMLPreformattedChar"/>
    <w:semiHidden/>
    <w:rsid w:val="00117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PreformattedChar">
    <w:name w:val="HTML Preformatted Char"/>
    <w:basedOn w:val="DefaultParagraphFont"/>
    <w:link w:val="HTMLPreformatted"/>
    <w:semiHidden/>
    <w:rsid w:val="00117707"/>
    <w:rPr>
      <w:rFonts w:ascii="Arial Unicode MS" w:eastAsia="Arial Unicode MS" w:hAnsi="Arial Unicode MS" w:cs="Arial Unicode MS"/>
      <w:color w:val="000000"/>
      <w:sz w:val="20"/>
      <w:szCs w:val="20"/>
    </w:rPr>
  </w:style>
  <w:style w:type="paragraph" w:styleId="NoSpacing">
    <w:name w:val="No Spacing"/>
    <w:uiPriority w:val="1"/>
    <w:qFormat/>
    <w:rsid w:val="007E0F66"/>
    <w:pPr>
      <w:spacing w:after="0" w:line="240" w:lineRule="auto"/>
    </w:pPr>
  </w:style>
  <w:style w:type="table" w:styleId="TableGrid">
    <w:name w:val="Table Grid"/>
    <w:basedOn w:val="TableNormal"/>
    <w:uiPriority w:val="39"/>
    <w:rsid w:val="009D1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233A"/>
    <w:rPr>
      <w:color w:val="605E5C"/>
      <w:shd w:val="clear" w:color="auto" w:fill="E1DFDD"/>
    </w:rPr>
  </w:style>
  <w:style w:type="paragraph" w:styleId="NormalWeb">
    <w:name w:val="Normal (Web)"/>
    <w:basedOn w:val="Normal"/>
    <w:uiPriority w:val="99"/>
    <w:unhideWhenUsed/>
    <w:rsid w:val="00D30D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31138"/>
  </w:style>
  <w:style w:type="character" w:customStyle="1" w:styleId="tabchar">
    <w:name w:val="tabchar"/>
    <w:basedOn w:val="DefaultParagraphFont"/>
    <w:rsid w:val="001E6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8292">
      <w:bodyDiv w:val="1"/>
      <w:marLeft w:val="0"/>
      <w:marRight w:val="0"/>
      <w:marTop w:val="0"/>
      <w:marBottom w:val="0"/>
      <w:divBdr>
        <w:top w:val="none" w:sz="0" w:space="0" w:color="auto"/>
        <w:left w:val="none" w:sz="0" w:space="0" w:color="auto"/>
        <w:bottom w:val="none" w:sz="0" w:space="0" w:color="auto"/>
        <w:right w:val="none" w:sz="0" w:space="0" w:color="auto"/>
      </w:divBdr>
    </w:div>
    <w:div w:id="223181966">
      <w:bodyDiv w:val="1"/>
      <w:marLeft w:val="0"/>
      <w:marRight w:val="0"/>
      <w:marTop w:val="0"/>
      <w:marBottom w:val="0"/>
      <w:divBdr>
        <w:top w:val="none" w:sz="0" w:space="0" w:color="auto"/>
        <w:left w:val="none" w:sz="0" w:space="0" w:color="auto"/>
        <w:bottom w:val="none" w:sz="0" w:space="0" w:color="auto"/>
        <w:right w:val="none" w:sz="0" w:space="0" w:color="auto"/>
      </w:divBdr>
    </w:div>
    <w:div w:id="249126179">
      <w:bodyDiv w:val="1"/>
      <w:marLeft w:val="0"/>
      <w:marRight w:val="0"/>
      <w:marTop w:val="0"/>
      <w:marBottom w:val="0"/>
      <w:divBdr>
        <w:top w:val="none" w:sz="0" w:space="0" w:color="auto"/>
        <w:left w:val="none" w:sz="0" w:space="0" w:color="auto"/>
        <w:bottom w:val="none" w:sz="0" w:space="0" w:color="auto"/>
        <w:right w:val="none" w:sz="0" w:space="0" w:color="auto"/>
      </w:divBdr>
      <w:divsChild>
        <w:div w:id="410395715">
          <w:marLeft w:val="0"/>
          <w:marRight w:val="0"/>
          <w:marTop w:val="0"/>
          <w:marBottom w:val="0"/>
          <w:divBdr>
            <w:top w:val="none" w:sz="0" w:space="0" w:color="auto"/>
            <w:left w:val="none" w:sz="0" w:space="0" w:color="auto"/>
            <w:bottom w:val="none" w:sz="0" w:space="0" w:color="auto"/>
            <w:right w:val="none" w:sz="0" w:space="0" w:color="auto"/>
          </w:divBdr>
        </w:div>
        <w:div w:id="866797741">
          <w:marLeft w:val="0"/>
          <w:marRight w:val="0"/>
          <w:marTop w:val="0"/>
          <w:marBottom w:val="0"/>
          <w:divBdr>
            <w:top w:val="none" w:sz="0" w:space="0" w:color="auto"/>
            <w:left w:val="none" w:sz="0" w:space="0" w:color="auto"/>
            <w:bottom w:val="none" w:sz="0" w:space="0" w:color="auto"/>
            <w:right w:val="none" w:sz="0" w:space="0" w:color="auto"/>
          </w:divBdr>
        </w:div>
        <w:div w:id="660936520">
          <w:marLeft w:val="0"/>
          <w:marRight w:val="0"/>
          <w:marTop w:val="0"/>
          <w:marBottom w:val="0"/>
          <w:divBdr>
            <w:top w:val="none" w:sz="0" w:space="0" w:color="auto"/>
            <w:left w:val="none" w:sz="0" w:space="0" w:color="auto"/>
            <w:bottom w:val="none" w:sz="0" w:space="0" w:color="auto"/>
            <w:right w:val="none" w:sz="0" w:space="0" w:color="auto"/>
          </w:divBdr>
        </w:div>
        <w:div w:id="842890174">
          <w:marLeft w:val="0"/>
          <w:marRight w:val="0"/>
          <w:marTop w:val="0"/>
          <w:marBottom w:val="0"/>
          <w:divBdr>
            <w:top w:val="none" w:sz="0" w:space="0" w:color="auto"/>
            <w:left w:val="none" w:sz="0" w:space="0" w:color="auto"/>
            <w:bottom w:val="none" w:sz="0" w:space="0" w:color="auto"/>
            <w:right w:val="none" w:sz="0" w:space="0" w:color="auto"/>
          </w:divBdr>
        </w:div>
        <w:div w:id="1326938123">
          <w:marLeft w:val="0"/>
          <w:marRight w:val="0"/>
          <w:marTop w:val="0"/>
          <w:marBottom w:val="0"/>
          <w:divBdr>
            <w:top w:val="none" w:sz="0" w:space="0" w:color="auto"/>
            <w:left w:val="none" w:sz="0" w:space="0" w:color="auto"/>
            <w:bottom w:val="none" w:sz="0" w:space="0" w:color="auto"/>
            <w:right w:val="none" w:sz="0" w:space="0" w:color="auto"/>
          </w:divBdr>
        </w:div>
        <w:div w:id="1541357716">
          <w:marLeft w:val="0"/>
          <w:marRight w:val="0"/>
          <w:marTop w:val="0"/>
          <w:marBottom w:val="0"/>
          <w:divBdr>
            <w:top w:val="none" w:sz="0" w:space="0" w:color="auto"/>
            <w:left w:val="none" w:sz="0" w:space="0" w:color="auto"/>
            <w:bottom w:val="none" w:sz="0" w:space="0" w:color="auto"/>
            <w:right w:val="none" w:sz="0" w:space="0" w:color="auto"/>
          </w:divBdr>
        </w:div>
        <w:div w:id="396323522">
          <w:marLeft w:val="0"/>
          <w:marRight w:val="0"/>
          <w:marTop w:val="0"/>
          <w:marBottom w:val="0"/>
          <w:divBdr>
            <w:top w:val="none" w:sz="0" w:space="0" w:color="auto"/>
            <w:left w:val="none" w:sz="0" w:space="0" w:color="auto"/>
            <w:bottom w:val="none" w:sz="0" w:space="0" w:color="auto"/>
            <w:right w:val="none" w:sz="0" w:space="0" w:color="auto"/>
          </w:divBdr>
        </w:div>
        <w:div w:id="1269242954">
          <w:marLeft w:val="0"/>
          <w:marRight w:val="0"/>
          <w:marTop w:val="0"/>
          <w:marBottom w:val="0"/>
          <w:divBdr>
            <w:top w:val="none" w:sz="0" w:space="0" w:color="auto"/>
            <w:left w:val="none" w:sz="0" w:space="0" w:color="auto"/>
            <w:bottom w:val="none" w:sz="0" w:space="0" w:color="auto"/>
            <w:right w:val="none" w:sz="0" w:space="0" w:color="auto"/>
          </w:divBdr>
        </w:div>
        <w:div w:id="1345203857">
          <w:marLeft w:val="0"/>
          <w:marRight w:val="0"/>
          <w:marTop w:val="0"/>
          <w:marBottom w:val="0"/>
          <w:divBdr>
            <w:top w:val="none" w:sz="0" w:space="0" w:color="auto"/>
            <w:left w:val="none" w:sz="0" w:space="0" w:color="auto"/>
            <w:bottom w:val="none" w:sz="0" w:space="0" w:color="auto"/>
            <w:right w:val="none" w:sz="0" w:space="0" w:color="auto"/>
          </w:divBdr>
        </w:div>
      </w:divsChild>
    </w:div>
    <w:div w:id="310909500">
      <w:bodyDiv w:val="1"/>
      <w:marLeft w:val="0"/>
      <w:marRight w:val="0"/>
      <w:marTop w:val="0"/>
      <w:marBottom w:val="0"/>
      <w:divBdr>
        <w:top w:val="none" w:sz="0" w:space="0" w:color="auto"/>
        <w:left w:val="none" w:sz="0" w:space="0" w:color="auto"/>
        <w:bottom w:val="none" w:sz="0" w:space="0" w:color="auto"/>
        <w:right w:val="none" w:sz="0" w:space="0" w:color="auto"/>
      </w:divBdr>
    </w:div>
    <w:div w:id="428501223">
      <w:bodyDiv w:val="1"/>
      <w:marLeft w:val="0"/>
      <w:marRight w:val="0"/>
      <w:marTop w:val="0"/>
      <w:marBottom w:val="0"/>
      <w:divBdr>
        <w:top w:val="none" w:sz="0" w:space="0" w:color="auto"/>
        <w:left w:val="none" w:sz="0" w:space="0" w:color="auto"/>
        <w:bottom w:val="none" w:sz="0" w:space="0" w:color="auto"/>
        <w:right w:val="none" w:sz="0" w:space="0" w:color="auto"/>
      </w:divBdr>
    </w:div>
    <w:div w:id="582032740">
      <w:bodyDiv w:val="1"/>
      <w:marLeft w:val="0"/>
      <w:marRight w:val="0"/>
      <w:marTop w:val="0"/>
      <w:marBottom w:val="0"/>
      <w:divBdr>
        <w:top w:val="none" w:sz="0" w:space="0" w:color="auto"/>
        <w:left w:val="none" w:sz="0" w:space="0" w:color="auto"/>
        <w:bottom w:val="none" w:sz="0" w:space="0" w:color="auto"/>
        <w:right w:val="none" w:sz="0" w:space="0" w:color="auto"/>
      </w:divBdr>
    </w:div>
    <w:div w:id="646982678">
      <w:bodyDiv w:val="1"/>
      <w:marLeft w:val="0"/>
      <w:marRight w:val="0"/>
      <w:marTop w:val="0"/>
      <w:marBottom w:val="0"/>
      <w:divBdr>
        <w:top w:val="none" w:sz="0" w:space="0" w:color="auto"/>
        <w:left w:val="none" w:sz="0" w:space="0" w:color="auto"/>
        <w:bottom w:val="none" w:sz="0" w:space="0" w:color="auto"/>
        <w:right w:val="none" w:sz="0" w:space="0" w:color="auto"/>
      </w:divBdr>
    </w:div>
    <w:div w:id="781194219">
      <w:bodyDiv w:val="1"/>
      <w:marLeft w:val="0"/>
      <w:marRight w:val="0"/>
      <w:marTop w:val="0"/>
      <w:marBottom w:val="0"/>
      <w:divBdr>
        <w:top w:val="none" w:sz="0" w:space="0" w:color="auto"/>
        <w:left w:val="none" w:sz="0" w:space="0" w:color="auto"/>
        <w:bottom w:val="none" w:sz="0" w:space="0" w:color="auto"/>
        <w:right w:val="none" w:sz="0" w:space="0" w:color="auto"/>
      </w:divBdr>
    </w:div>
    <w:div w:id="1020550166">
      <w:bodyDiv w:val="1"/>
      <w:marLeft w:val="0"/>
      <w:marRight w:val="0"/>
      <w:marTop w:val="0"/>
      <w:marBottom w:val="0"/>
      <w:divBdr>
        <w:top w:val="none" w:sz="0" w:space="0" w:color="auto"/>
        <w:left w:val="none" w:sz="0" w:space="0" w:color="auto"/>
        <w:bottom w:val="none" w:sz="0" w:space="0" w:color="auto"/>
        <w:right w:val="none" w:sz="0" w:space="0" w:color="auto"/>
      </w:divBdr>
    </w:div>
    <w:div w:id="1028026635">
      <w:bodyDiv w:val="1"/>
      <w:marLeft w:val="0"/>
      <w:marRight w:val="0"/>
      <w:marTop w:val="0"/>
      <w:marBottom w:val="0"/>
      <w:divBdr>
        <w:top w:val="none" w:sz="0" w:space="0" w:color="auto"/>
        <w:left w:val="none" w:sz="0" w:space="0" w:color="auto"/>
        <w:bottom w:val="none" w:sz="0" w:space="0" w:color="auto"/>
        <w:right w:val="none" w:sz="0" w:space="0" w:color="auto"/>
      </w:divBdr>
    </w:div>
    <w:div w:id="1070033477">
      <w:bodyDiv w:val="1"/>
      <w:marLeft w:val="0"/>
      <w:marRight w:val="0"/>
      <w:marTop w:val="0"/>
      <w:marBottom w:val="0"/>
      <w:divBdr>
        <w:top w:val="none" w:sz="0" w:space="0" w:color="auto"/>
        <w:left w:val="none" w:sz="0" w:space="0" w:color="auto"/>
        <w:bottom w:val="none" w:sz="0" w:space="0" w:color="auto"/>
        <w:right w:val="none" w:sz="0" w:space="0" w:color="auto"/>
      </w:divBdr>
    </w:div>
    <w:div w:id="1095907011">
      <w:bodyDiv w:val="1"/>
      <w:marLeft w:val="0"/>
      <w:marRight w:val="0"/>
      <w:marTop w:val="0"/>
      <w:marBottom w:val="0"/>
      <w:divBdr>
        <w:top w:val="none" w:sz="0" w:space="0" w:color="auto"/>
        <w:left w:val="none" w:sz="0" w:space="0" w:color="auto"/>
        <w:bottom w:val="none" w:sz="0" w:space="0" w:color="auto"/>
        <w:right w:val="none" w:sz="0" w:space="0" w:color="auto"/>
      </w:divBdr>
    </w:div>
    <w:div w:id="1185443663">
      <w:bodyDiv w:val="1"/>
      <w:marLeft w:val="0"/>
      <w:marRight w:val="0"/>
      <w:marTop w:val="0"/>
      <w:marBottom w:val="0"/>
      <w:divBdr>
        <w:top w:val="none" w:sz="0" w:space="0" w:color="auto"/>
        <w:left w:val="none" w:sz="0" w:space="0" w:color="auto"/>
        <w:bottom w:val="none" w:sz="0" w:space="0" w:color="auto"/>
        <w:right w:val="none" w:sz="0" w:space="0" w:color="auto"/>
      </w:divBdr>
    </w:div>
    <w:div w:id="1278759968">
      <w:bodyDiv w:val="1"/>
      <w:marLeft w:val="0"/>
      <w:marRight w:val="0"/>
      <w:marTop w:val="0"/>
      <w:marBottom w:val="0"/>
      <w:divBdr>
        <w:top w:val="none" w:sz="0" w:space="0" w:color="auto"/>
        <w:left w:val="none" w:sz="0" w:space="0" w:color="auto"/>
        <w:bottom w:val="none" w:sz="0" w:space="0" w:color="auto"/>
        <w:right w:val="none" w:sz="0" w:space="0" w:color="auto"/>
      </w:divBdr>
    </w:div>
    <w:div w:id="1656176559">
      <w:bodyDiv w:val="1"/>
      <w:marLeft w:val="0"/>
      <w:marRight w:val="0"/>
      <w:marTop w:val="0"/>
      <w:marBottom w:val="0"/>
      <w:divBdr>
        <w:top w:val="none" w:sz="0" w:space="0" w:color="auto"/>
        <w:left w:val="none" w:sz="0" w:space="0" w:color="auto"/>
        <w:bottom w:val="none" w:sz="0" w:space="0" w:color="auto"/>
        <w:right w:val="none" w:sz="0" w:space="0" w:color="auto"/>
      </w:divBdr>
    </w:div>
    <w:div w:id="1664628092">
      <w:bodyDiv w:val="1"/>
      <w:marLeft w:val="0"/>
      <w:marRight w:val="0"/>
      <w:marTop w:val="0"/>
      <w:marBottom w:val="0"/>
      <w:divBdr>
        <w:top w:val="none" w:sz="0" w:space="0" w:color="auto"/>
        <w:left w:val="none" w:sz="0" w:space="0" w:color="auto"/>
        <w:bottom w:val="none" w:sz="0" w:space="0" w:color="auto"/>
        <w:right w:val="none" w:sz="0" w:space="0" w:color="auto"/>
      </w:divBdr>
    </w:div>
    <w:div w:id="1674063733">
      <w:bodyDiv w:val="1"/>
      <w:marLeft w:val="0"/>
      <w:marRight w:val="0"/>
      <w:marTop w:val="0"/>
      <w:marBottom w:val="0"/>
      <w:divBdr>
        <w:top w:val="none" w:sz="0" w:space="0" w:color="auto"/>
        <w:left w:val="none" w:sz="0" w:space="0" w:color="auto"/>
        <w:bottom w:val="none" w:sz="0" w:space="0" w:color="auto"/>
        <w:right w:val="none" w:sz="0" w:space="0" w:color="auto"/>
      </w:divBdr>
    </w:div>
    <w:div w:id="1681424044">
      <w:bodyDiv w:val="1"/>
      <w:marLeft w:val="0"/>
      <w:marRight w:val="0"/>
      <w:marTop w:val="0"/>
      <w:marBottom w:val="0"/>
      <w:divBdr>
        <w:top w:val="none" w:sz="0" w:space="0" w:color="auto"/>
        <w:left w:val="none" w:sz="0" w:space="0" w:color="auto"/>
        <w:bottom w:val="none" w:sz="0" w:space="0" w:color="auto"/>
        <w:right w:val="none" w:sz="0" w:space="0" w:color="auto"/>
      </w:divBdr>
    </w:div>
    <w:div w:id="1752854583">
      <w:bodyDiv w:val="1"/>
      <w:marLeft w:val="0"/>
      <w:marRight w:val="0"/>
      <w:marTop w:val="0"/>
      <w:marBottom w:val="0"/>
      <w:divBdr>
        <w:top w:val="none" w:sz="0" w:space="0" w:color="auto"/>
        <w:left w:val="none" w:sz="0" w:space="0" w:color="auto"/>
        <w:bottom w:val="none" w:sz="0" w:space="0" w:color="auto"/>
        <w:right w:val="none" w:sz="0" w:space="0" w:color="auto"/>
      </w:divBdr>
    </w:div>
    <w:div w:id="1759213987">
      <w:bodyDiv w:val="1"/>
      <w:marLeft w:val="0"/>
      <w:marRight w:val="0"/>
      <w:marTop w:val="0"/>
      <w:marBottom w:val="0"/>
      <w:divBdr>
        <w:top w:val="none" w:sz="0" w:space="0" w:color="auto"/>
        <w:left w:val="none" w:sz="0" w:space="0" w:color="auto"/>
        <w:bottom w:val="none" w:sz="0" w:space="0" w:color="auto"/>
        <w:right w:val="none" w:sz="0" w:space="0" w:color="auto"/>
      </w:divBdr>
    </w:div>
    <w:div w:id="1774860545">
      <w:bodyDiv w:val="1"/>
      <w:marLeft w:val="0"/>
      <w:marRight w:val="0"/>
      <w:marTop w:val="0"/>
      <w:marBottom w:val="0"/>
      <w:divBdr>
        <w:top w:val="none" w:sz="0" w:space="0" w:color="auto"/>
        <w:left w:val="none" w:sz="0" w:space="0" w:color="auto"/>
        <w:bottom w:val="none" w:sz="0" w:space="0" w:color="auto"/>
        <w:right w:val="none" w:sz="0" w:space="0" w:color="auto"/>
      </w:divBdr>
    </w:div>
    <w:div w:id="200908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6.emf" /><Relationship Id="rId18"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emf" /><Relationship Id="rId17" Type="http://schemas.openxmlformats.org/officeDocument/2006/relationships/image" Target="media/image10.emf"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em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emf"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emf" /><Relationship Id="rId23" Type="http://schemas.openxmlformats.org/officeDocument/2006/relationships/footer" Target="footer1.xml" /><Relationship Id="rId10" Type="http://schemas.openxmlformats.org/officeDocument/2006/relationships/image" Target="media/image3.jp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7.emf" /><Relationship Id="rId22" Type="http://schemas.openxmlformats.org/officeDocument/2006/relationships/image" Target="media/image1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5F9B5-2470-4649-80D4-4A29E3DE18E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24011</Words>
  <Characters>136866</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University of Northumbria at Newcastle</Company>
  <LinksUpToDate>false</LinksUpToDate>
  <CharactersWithSpaces>160556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Faith</dc:creator>
  <cp:keywords/>
  <dc:description/>
  <cp:lastModifiedBy>Professor Ojo Emmanuel Ademola</cp:lastModifiedBy>
  <cp:revision>2</cp:revision>
  <cp:lastPrinted>2019-12-20T15:46:00Z</cp:lastPrinted>
  <dcterms:created xsi:type="dcterms:W3CDTF">2021-06-07T16:24:00Z</dcterms:created>
  <dcterms:modified xsi:type="dcterms:W3CDTF">2021-06-07T16:24:00Z</dcterms:modified>
</cp:coreProperties>
</file>